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D727F" w14:textId="5F31339E" w:rsidR="00FE5799" w:rsidRPr="00446F9D" w:rsidRDefault="00FE5799" w:rsidP="00FE5799">
      <w:pPr>
        <w:pStyle w:val="Header"/>
        <w:tabs>
          <w:tab w:val="clear" w:pos="4536"/>
        </w:tabs>
        <w:rPr>
          <w:i/>
        </w:rPr>
      </w:pPr>
      <w:r w:rsidRPr="00446F9D">
        <w:t>TSG-RAN WG1 #</w:t>
      </w:r>
      <w:r w:rsidR="00680026">
        <w:t>12</w:t>
      </w:r>
      <w:r w:rsidR="002D3880">
        <w:t>4</w:t>
      </w:r>
      <w:r w:rsidRPr="00446F9D">
        <w:tab/>
        <w:t>R1-</w:t>
      </w:r>
      <w:r w:rsidR="00680026">
        <w:t>2</w:t>
      </w:r>
      <w:r w:rsidR="00F87B28">
        <w:t>601048</w:t>
      </w:r>
    </w:p>
    <w:p w14:paraId="538E751C" w14:textId="00BFC40A" w:rsidR="00FE5799" w:rsidRPr="000833FA" w:rsidRDefault="002D3880" w:rsidP="00FE5799">
      <w:pPr>
        <w:pStyle w:val="Header"/>
        <w:rPr>
          <w:color w:val="000000"/>
        </w:rPr>
      </w:pPr>
      <w:r>
        <w:t>Gothenburg</w:t>
      </w:r>
      <w:r w:rsidR="00FE5799" w:rsidRPr="000833FA">
        <w:t xml:space="preserve">, </w:t>
      </w:r>
      <w:r>
        <w:t>Sweden</w:t>
      </w:r>
      <w:r w:rsidR="00FE5799" w:rsidRPr="000833FA">
        <w:t>,</w:t>
      </w:r>
      <w:r w:rsidR="00FE5799">
        <w:t xml:space="preserve"> </w:t>
      </w:r>
      <w:r>
        <w:t>February</w:t>
      </w:r>
      <w:r w:rsidR="00FE5799">
        <w:t xml:space="preserve"> </w:t>
      </w:r>
      <w:r>
        <w:t>09</w:t>
      </w:r>
      <w:r w:rsidR="00FE5799">
        <w:t xml:space="preserve"> – </w:t>
      </w:r>
      <w:r>
        <w:t>13</w:t>
      </w:r>
      <w:r w:rsidR="00FE5799">
        <w:t>, 20</w:t>
      </w:r>
      <w:r w:rsidR="00680026">
        <w:t>2</w:t>
      </w:r>
      <w:r>
        <w:t>6</w:t>
      </w:r>
    </w:p>
    <w:p w14:paraId="1B2FA07F" w14:textId="77777777" w:rsidR="00FE5799" w:rsidRPr="000833FA" w:rsidRDefault="00FE5799" w:rsidP="00FE5799">
      <w:pPr>
        <w:pStyle w:val="Header"/>
      </w:pPr>
    </w:p>
    <w:p w14:paraId="0D2CDC24" w14:textId="1922C278" w:rsidR="00FE5799" w:rsidRPr="0003368D" w:rsidRDefault="00FE5799" w:rsidP="00FE5799">
      <w:pPr>
        <w:pStyle w:val="Header"/>
        <w:tabs>
          <w:tab w:val="clear" w:pos="4536"/>
          <w:tab w:val="left" w:pos="1800"/>
        </w:tabs>
        <w:ind w:left="1800" w:hanging="1800"/>
      </w:pPr>
      <w:r w:rsidRPr="0003368D">
        <w:t>Source:</w:t>
      </w:r>
      <w:r w:rsidRPr="0003368D">
        <w:tab/>
        <w:t>Ericsson</w:t>
      </w:r>
      <w:r w:rsidR="00944D50">
        <w:t xml:space="preserve">, </w:t>
      </w:r>
      <w:r w:rsidR="00944D50" w:rsidRPr="00944D50">
        <w:t>T-Mobile USA</w:t>
      </w:r>
    </w:p>
    <w:p w14:paraId="0D0606CE" w14:textId="3F667B74" w:rsidR="00FE5799" w:rsidRPr="00F64D4A" w:rsidRDefault="00FE5799" w:rsidP="00FE5799">
      <w:pPr>
        <w:pStyle w:val="Header"/>
        <w:tabs>
          <w:tab w:val="clear" w:pos="4536"/>
          <w:tab w:val="left" w:pos="1800"/>
        </w:tabs>
      </w:pPr>
      <w:r w:rsidRPr="0003368D">
        <w:t>Title:</w:t>
      </w:r>
      <w:bookmarkStart w:id="0" w:name="Title"/>
      <w:bookmarkEnd w:id="0"/>
      <w:r w:rsidRPr="0003368D">
        <w:tab/>
      </w:r>
      <w:r w:rsidR="00E02FD0">
        <w:t>Scheduling and HARQ</w:t>
      </w:r>
      <w:r w:rsidR="002D3880">
        <w:t xml:space="preserve"> </w:t>
      </w:r>
      <w:r w:rsidR="00E02FD0">
        <w:t xml:space="preserve">operation </w:t>
      </w:r>
      <w:r w:rsidR="002D3880">
        <w:t>for 6GR</w:t>
      </w:r>
    </w:p>
    <w:p w14:paraId="3B3FC961" w14:textId="6E0AC70C" w:rsidR="00FE5799" w:rsidRPr="0003368D" w:rsidRDefault="00FE5799" w:rsidP="00FE5799">
      <w:pPr>
        <w:pStyle w:val="Header"/>
        <w:tabs>
          <w:tab w:val="left" w:pos="1800"/>
        </w:tabs>
      </w:pPr>
      <w:r w:rsidRPr="0003368D">
        <w:t>Agenda Item:</w:t>
      </w:r>
      <w:bookmarkStart w:id="1" w:name="Source"/>
      <w:bookmarkEnd w:id="1"/>
      <w:r w:rsidRPr="0003368D">
        <w:tab/>
      </w:r>
      <w:r w:rsidR="00680026">
        <w:t>1</w:t>
      </w:r>
      <w:r w:rsidR="002D3880">
        <w:t>0</w:t>
      </w:r>
      <w:r w:rsidR="00680026">
        <w:t>.</w:t>
      </w:r>
      <w:r w:rsidR="002D3880">
        <w:t>5.</w:t>
      </w:r>
      <w:r w:rsidR="00E02FD0">
        <w:t>4</w:t>
      </w:r>
      <w:r w:rsidR="002D3880">
        <w:t>.</w:t>
      </w:r>
      <w:r w:rsidR="008F0598">
        <w:t>3</w:t>
      </w:r>
    </w:p>
    <w:p w14:paraId="191D5F17" w14:textId="77777777"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14:paraId="16D5A876" w14:textId="77777777" w:rsidR="00FE5799" w:rsidRPr="002100D2" w:rsidRDefault="00FE5799" w:rsidP="00FE5799">
      <w:pPr>
        <w:pBdr>
          <w:bottom w:val="single" w:sz="4" w:space="1" w:color="auto"/>
        </w:pBdr>
        <w:tabs>
          <w:tab w:val="left" w:pos="2552"/>
        </w:tabs>
      </w:pPr>
    </w:p>
    <w:p w14:paraId="1DAC65B3" w14:textId="77777777" w:rsidR="00FE5799" w:rsidRDefault="00D64311" w:rsidP="00FE5799">
      <w:pPr>
        <w:pStyle w:val="Heading1"/>
      </w:pPr>
      <w:r>
        <w:t>Introduction</w:t>
      </w:r>
    </w:p>
    <w:p w14:paraId="79C64BA8" w14:textId="3B5B1ACA" w:rsidR="00420802" w:rsidRDefault="0072634C" w:rsidP="00420802">
      <w:pPr>
        <w:pStyle w:val="BodyText"/>
      </w:pPr>
      <w:r>
        <w:t xml:space="preserve">A new SI on 6G Radio was approved in [1]. </w:t>
      </w:r>
      <w:r w:rsidR="00420802">
        <w:t xml:space="preserve">In </w:t>
      </w:r>
      <w:r w:rsidR="00680026">
        <w:t xml:space="preserve">this document we discuss </w:t>
      </w:r>
      <w:r w:rsidR="00E02FD0">
        <w:t xml:space="preserve">scheduling considerations and HARQ operation </w:t>
      </w:r>
      <w:r w:rsidR="002D3880">
        <w:t>for 6GR</w:t>
      </w:r>
      <w:r w:rsidR="00420802">
        <w:t>.</w:t>
      </w:r>
    </w:p>
    <w:p w14:paraId="47515EBF" w14:textId="526007E5" w:rsidR="00D7691A" w:rsidRDefault="00680026" w:rsidP="00D7691A">
      <w:pPr>
        <w:pStyle w:val="Heading1"/>
      </w:pPr>
      <w:r>
        <w:t>Discussion</w:t>
      </w:r>
    </w:p>
    <w:p w14:paraId="0971D36F" w14:textId="220D5C82" w:rsidR="004E441F" w:rsidRPr="00F35BDE" w:rsidRDefault="00E02FD0" w:rsidP="00F35BDE">
      <w:pPr>
        <w:pStyle w:val="Heading2"/>
      </w:pPr>
      <w:r>
        <w:t xml:space="preserve">Scheduling </w:t>
      </w:r>
      <w:r w:rsidR="00E003B7">
        <w:t xml:space="preserve">timelines and HARQ </w:t>
      </w:r>
    </w:p>
    <w:p w14:paraId="79D176DA" w14:textId="41B1A047" w:rsidR="00862A8A" w:rsidRDefault="00862A8A" w:rsidP="00862A8A">
      <w:pPr>
        <w:pStyle w:val="BodyText"/>
      </w:pPr>
      <w:r>
        <w:t>The details around the scheduling timeline and control signaling have a significant impact on the overall performance and proper design for these aspects should therefore be considered from the start of 6G. In contrast, in 5G many of the timeline aspects were considered towards the end of Rel</w:t>
      </w:r>
      <w:r w:rsidR="00EA18C8">
        <w:t>-</w:t>
      </w:r>
      <w:r>
        <w:t>15 work item and typically without considering the overall system impact. In isolation, each of the timeline restrictions might look harmless, but the interaction between them often leads to undesirable effects. It may also limit the possibilities to save power in the UE.</w:t>
      </w:r>
    </w:p>
    <w:p w14:paraId="73C9843A" w14:textId="77777777" w:rsidR="00862A8A" w:rsidRDefault="00862A8A" w:rsidP="00862A8A">
      <w:pPr>
        <w:pStyle w:val="BodyText"/>
      </w:pPr>
      <w:r>
        <w:t>The PUCCH design for uplink control signaling can trace its roots to the HSPA work in 3G. At that point in time, the focus was on one FDD carrier and very simple multi-antenna schemes, resulting in small payloads (1-2 bits ACK/NACK, no complex PMI reporting). A PUCCH tailor-made for small and predictable payloads was a reasonable choice. However, over time, 4G and 5G added support for TDD, carrier aggregation (including FDD+TDD), multiple numerologies, advanced multi-antenna schemes, enhanced URLLC, and support for different UE capabilities in terms of ACK/NACK timing. This led to a very complex PUCCH and uplink control information (UCI) handling in 5G as is illustrated in the six examples below.</w:t>
      </w:r>
    </w:p>
    <w:p w14:paraId="14E288CE" w14:textId="02A46971" w:rsidR="00862A8A" w:rsidRPr="009D435A" w:rsidRDefault="00862A8A" w:rsidP="00862A8A">
      <w:pPr>
        <w:jc w:val="both"/>
        <w:rPr>
          <w:rFonts w:cs="Arial"/>
          <w:b/>
          <w:bCs/>
          <w:szCs w:val="20"/>
          <w:lang w:eastAsia="ja-JP"/>
        </w:rPr>
      </w:pPr>
      <w:r w:rsidRPr="009D435A">
        <w:rPr>
          <w:rFonts w:cs="Arial"/>
          <w:b/>
          <w:bCs/>
          <w:szCs w:val="20"/>
          <w:lang w:eastAsia="ja-JP"/>
        </w:rPr>
        <w:t>Example 1– CSI reports blocking uplink scheduling</w:t>
      </w:r>
    </w:p>
    <w:p w14:paraId="51A6F152" w14:textId="75A2A9FC" w:rsidR="00862A8A" w:rsidRDefault="00862A8A" w:rsidP="00862A8A">
      <w:pPr>
        <w:jc w:val="both"/>
        <w:rPr>
          <w:rFonts w:cs="Arial"/>
          <w:szCs w:val="20"/>
          <w:lang w:eastAsia="ja-JP"/>
        </w:rPr>
      </w:pPr>
      <w:r>
        <w:rPr>
          <w:rFonts w:cs="Arial"/>
          <w:szCs w:val="20"/>
          <w:lang w:eastAsia="ja-JP"/>
        </w:rPr>
        <w:t xml:space="preserve">Requesting a CSI report is done with a DCI which triggers the measurement in the UE </w:t>
      </w:r>
      <w:r>
        <w:rPr>
          <w:rFonts w:cs="Arial"/>
          <w:i/>
          <w:iCs/>
          <w:szCs w:val="20"/>
          <w:lang w:eastAsia="ja-JP"/>
        </w:rPr>
        <w:t>and</w:t>
      </w:r>
      <w:r>
        <w:rPr>
          <w:rFonts w:cs="Arial"/>
          <w:szCs w:val="20"/>
          <w:lang w:eastAsia="ja-JP"/>
        </w:rPr>
        <w:t xml:space="preserve"> provides resources upon which the CSI report should be transmitted. The CSI processing can take </w:t>
      </w:r>
      <w:proofErr w:type="gramStart"/>
      <w:r>
        <w:rPr>
          <w:rFonts w:cs="Arial"/>
          <w:szCs w:val="20"/>
          <w:lang w:eastAsia="ja-JP"/>
        </w:rPr>
        <w:t>a relatively</w:t>
      </w:r>
      <w:proofErr w:type="gramEnd"/>
      <w:r>
        <w:rPr>
          <w:rFonts w:cs="Arial"/>
          <w:szCs w:val="20"/>
          <w:lang w:eastAsia="ja-JP"/>
        </w:rPr>
        <w:t xml:space="preserve"> long time (the time is set to account for the worst case). Together with the requirement on uplink grants to be handled in sequence this leads to a CSI request blocking the uplink scheduling as illustrated in Figure </w:t>
      </w:r>
      <w:r w:rsidR="00F477FF">
        <w:rPr>
          <w:rFonts w:cs="Arial"/>
          <w:szCs w:val="20"/>
          <w:lang w:eastAsia="ja-JP"/>
        </w:rPr>
        <w:t>1</w:t>
      </w:r>
      <w:r>
        <w:rPr>
          <w:rFonts w:cs="Arial"/>
          <w:szCs w:val="20"/>
          <w:lang w:eastAsia="ja-JP"/>
        </w:rPr>
        <w:t xml:space="preserve">. </w:t>
      </w:r>
    </w:p>
    <w:p w14:paraId="0C84B042" w14:textId="77777777" w:rsidR="00862A8A" w:rsidRDefault="00862A8A" w:rsidP="00862A8A">
      <w:pPr>
        <w:jc w:val="both"/>
        <w:rPr>
          <w:rFonts w:cs="Arial"/>
          <w:szCs w:val="20"/>
          <w:lang w:eastAsia="ja-JP"/>
        </w:rPr>
      </w:pPr>
    </w:p>
    <w:p w14:paraId="596A82CE" w14:textId="77777777" w:rsidR="00862A8A" w:rsidRDefault="00862A8A" w:rsidP="00862A8A">
      <w:pPr>
        <w:jc w:val="both"/>
        <w:rPr>
          <w:rFonts w:cs="Arial"/>
          <w:szCs w:val="20"/>
          <w:lang w:eastAsia="ja-JP"/>
        </w:rPr>
      </w:pPr>
      <w:r>
        <w:rPr>
          <w:rFonts w:cs="Arial"/>
          <w:szCs w:val="20"/>
          <w:lang w:eastAsia="ja-JP"/>
        </w:rPr>
        <w:t>The corresponding specification text is found in 38.214, “</w:t>
      </w:r>
      <w:r w:rsidRPr="00643F4F">
        <w:rPr>
          <w:rFonts w:cs="Arial"/>
          <w:i/>
          <w:iCs/>
          <w:szCs w:val="20"/>
          <w:lang w:eastAsia="ja-JP"/>
        </w:rPr>
        <w:t xml:space="preserve">if the UE is scheduled to start a first PUSCH transmission starting in symbol j by a PDCCH ending in symbol i on a scheduling cell, the UE is </w:t>
      </w:r>
      <w:r w:rsidRPr="00643F4F">
        <w:rPr>
          <w:rFonts w:cs="Arial"/>
          <w:i/>
          <w:iCs/>
          <w:color w:val="FF0000"/>
          <w:szCs w:val="20"/>
          <w:lang w:eastAsia="ja-JP"/>
        </w:rPr>
        <w:t>not expected to be scheduled</w:t>
      </w:r>
      <w:r w:rsidRPr="00643F4F">
        <w:rPr>
          <w:rFonts w:cs="Arial"/>
          <w:i/>
          <w:iCs/>
          <w:szCs w:val="20"/>
          <w:lang w:eastAsia="ja-JP"/>
        </w:rPr>
        <w:t xml:space="preserve"> to transmit a PUSCH starting earlier than the end of the first PUSCH by a PDCCH that ends later than symbol i of the scheduling cell.</w:t>
      </w:r>
      <w:r>
        <w:rPr>
          <w:rFonts w:cs="Arial"/>
          <w:szCs w:val="20"/>
          <w:lang w:eastAsia="ja-JP"/>
        </w:rPr>
        <w:t>”</w:t>
      </w:r>
    </w:p>
    <w:p w14:paraId="662906D4" w14:textId="77777777" w:rsidR="00862A8A" w:rsidRDefault="00862A8A" w:rsidP="00862A8A">
      <w:pPr>
        <w:jc w:val="both"/>
        <w:rPr>
          <w:rFonts w:cs="Arial"/>
          <w:szCs w:val="20"/>
          <w:lang w:eastAsia="ja-JP"/>
        </w:rPr>
      </w:pPr>
    </w:p>
    <w:p w14:paraId="4EF7E5BB" w14:textId="77777777" w:rsidR="00862A8A" w:rsidRDefault="00862A8A" w:rsidP="00862A8A">
      <w:pPr>
        <w:keepNext/>
        <w:jc w:val="center"/>
      </w:pPr>
      <w:r w:rsidRPr="007D3AF9">
        <w:rPr>
          <w:noProof/>
        </w:rPr>
        <w:drawing>
          <wp:inline distT="0" distB="0" distL="0" distR="0" wp14:anchorId="7CBE39FC" wp14:editId="28C36592">
            <wp:extent cx="4902835" cy="738505"/>
            <wp:effectExtent l="0" t="0" r="0" b="0"/>
            <wp:docPr id="848471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02835" cy="738505"/>
                    </a:xfrm>
                    <a:prstGeom prst="rect">
                      <a:avLst/>
                    </a:prstGeom>
                    <a:noFill/>
                    <a:ln>
                      <a:noFill/>
                    </a:ln>
                  </pic:spPr>
                </pic:pic>
              </a:graphicData>
            </a:graphic>
          </wp:inline>
        </w:drawing>
      </w:r>
    </w:p>
    <w:p w14:paraId="1735144C" w14:textId="77777777" w:rsidR="00862A8A" w:rsidRDefault="00862A8A" w:rsidP="00862A8A">
      <w:pPr>
        <w:pStyle w:val="BodyText"/>
      </w:pPr>
    </w:p>
    <w:p w14:paraId="6A586785" w14:textId="7C6022AD" w:rsidR="00862A8A" w:rsidRDefault="00862A8A" w:rsidP="00862A8A">
      <w:pPr>
        <w:pStyle w:val="Caption"/>
        <w:jc w:val="center"/>
      </w:pPr>
      <w:r>
        <w:t xml:space="preserve">Figure </w:t>
      </w:r>
      <w:r w:rsidR="00F477FF">
        <w:t>1</w:t>
      </w:r>
      <w:r>
        <w:t xml:space="preserve">: </w:t>
      </w:r>
      <w:r w:rsidRPr="0002793F">
        <w:t>Illustration of a CSI report blocking uplink scheduling.</w:t>
      </w:r>
    </w:p>
    <w:p w14:paraId="5C885732" w14:textId="77777777" w:rsidR="00862A8A" w:rsidRDefault="00862A8A" w:rsidP="00862A8A">
      <w:pPr>
        <w:pStyle w:val="BodyText"/>
      </w:pPr>
    </w:p>
    <w:p w14:paraId="7585F8FF" w14:textId="77777777" w:rsidR="00862A8A" w:rsidRPr="009D435A" w:rsidRDefault="00862A8A" w:rsidP="00862A8A">
      <w:pPr>
        <w:jc w:val="both"/>
        <w:rPr>
          <w:rFonts w:cs="Arial"/>
          <w:b/>
          <w:bCs/>
          <w:szCs w:val="20"/>
          <w:lang w:eastAsia="ja-JP"/>
        </w:rPr>
      </w:pPr>
      <w:r w:rsidRPr="009D435A">
        <w:rPr>
          <w:rFonts w:cs="Arial"/>
          <w:b/>
          <w:bCs/>
          <w:szCs w:val="20"/>
          <w:lang w:eastAsia="ja-JP"/>
        </w:rPr>
        <w:t>Example 2 – no ACKs on PUSCH after uplink grant reception</w:t>
      </w:r>
    </w:p>
    <w:p w14:paraId="2FAE34B1" w14:textId="0F1F4A0D" w:rsidR="00862A8A" w:rsidRPr="004A0567" w:rsidRDefault="00862A8A" w:rsidP="00862A8A">
      <w:pPr>
        <w:jc w:val="both"/>
      </w:pPr>
      <w:r>
        <w:rPr>
          <w:rFonts w:cs="Arial"/>
          <w:szCs w:val="20"/>
          <w:lang w:eastAsia="ja-JP"/>
        </w:rPr>
        <w:t>Once an uplink grant has been received by the UE, it is not possible to multiplex HARQ-ACK from subsequent downlink slots into the scheduled PUSCH transmission. This results in downlink scheduling restrictions as illustrate</w:t>
      </w:r>
      <w:r w:rsidRPr="004A0567">
        <w:t xml:space="preserve">d </w:t>
      </w:r>
      <w:proofErr w:type="gramStart"/>
      <w:r w:rsidRPr="004A0567">
        <w:t>in</w:t>
      </w:r>
      <w:r>
        <w:t xml:space="preserve"> </w:t>
      </w:r>
      <w:r w:rsidRPr="004A0567">
        <w:t xml:space="preserve"> Figure</w:t>
      </w:r>
      <w:proofErr w:type="gramEnd"/>
      <w:r w:rsidRPr="004A0567">
        <w:t xml:space="preserve"> </w:t>
      </w:r>
      <w:r w:rsidR="00F477FF">
        <w:t>2</w:t>
      </w:r>
      <w:r w:rsidRPr="004A0567">
        <w:t>.</w:t>
      </w:r>
    </w:p>
    <w:p w14:paraId="49282D10" w14:textId="77777777" w:rsidR="00862A8A" w:rsidRDefault="00862A8A" w:rsidP="00862A8A">
      <w:pPr>
        <w:jc w:val="both"/>
        <w:rPr>
          <w:rFonts w:cs="Arial"/>
          <w:szCs w:val="20"/>
          <w:lang w:eastAsia="ja-JP"/>
        </w:rPr>
      </w:pPr>
      <w:r>
        <w:rPr>
          <w:rFonts w:cs="Arial"/>
          <w:szCs w:val="20"/>
          <w:lang w:eastAsia="ja-JP"/>
        </w:rPr>
        <w:t>The corresponding specification text is found in 38.213, “</w:t>
      </w:r>
      <w:r w:rsidRPr="00643F4F">
        <w:rPr>
          <w:rFonts w:cs="Arial"/>
          <w:i/>
          <w:iCs/>
          <w:szCs w:val="20"/>
          <w:lang w:eastAsia="ja-JP"/>
        </w:rPr>
        <w:t xml:space="preserve">A UE </w:t>
      </w:r>
      <w:r w:rsidRPr="00643F4F">
        <w:rPr>
          <w:rFonts w:cs="Arial"/>
          <w:i/>
          <w:iCs/>
          <w:color w:val="FF0000"/>
          <w:szCs w:val="20"/>
          <w:lang w:eastAsia="ja-JP"/>
        </w:rPr>
        <w:t>does not expect to detect</w:t>
      </w:r>
      <w:r w:rsidRPr="00643F4F">
        <w:rPr>
          <w:rFonts w:cs="Arial"/>
          <w:i/>
          <w:iCs/>
          <w:szCs w:val="20"/>
          <w:lang w:eastAsia="ja-JP"/>
        </w:rPr>
        <w:t xml:space="preserve"> a DCI format scheduling a PDSCH reception or a SPS PDSCH release and indicating a resource for a PUCCH transmission with corresponding HARQ-ACK information in a slot if the UE previously detects a DCI format scheduling a PUSCH transmission in the slot and if the UE multiplexes HARQ-ACK information in the PUSCH transmission.</w:t>
      </w:r>
      <w:r>
        <w:rPr>
          <w:rFonts w:cs="Arial"/>
          <w:szCs w:val="20"/>
          <w:lang w:eastAsia="ja-JP"/>
        </w:rPr>
        <w:t>”</w:t>
      </w:r>
    </w:p>
    <w:p w14:paraId="25559296" w14:textId="3E688A4C" w:rsidR="00862A8A" w:rsidRDefault="00862A8A" w:rsidP="00862A8A">
      <w:pPr>
        <w:jc w:val="both"/>
        <w:rPr>
          <w:rFonts w:cs="Arial"/>
          <w:szCs w:val="20"/>
          <w:lang w:eastAsia="ja-JP"/>
        </w:rPr>
      </w:pPr>
      <w:r>
        <w:rPr>
          <w:rFonts w:cs="Arial"/>
          <w:szCs w:val="20"/>
          <w:lang w:eastAsia="ja-JP"/>
        </w:rPr>
        <w:lastRenderedPageBreak/>
        <w:t xml:space="preserve">This restriction had a detrimental impact on system performance in real deployments, especially when PUSCH repetition was enabled. Intensive efforts in 3GPP led to a relatively complex solution by a TEI to improve the situation slightly. However, its usability due to late release and feature complexity in real deployments </w:t>
      </w:r>
      <w:r w:rsidR="00C31C94">
        <w:rPr>
          <w:rFonts w:cs="Arial"/>
          <w:szCs w:val="20"/>
          <w:lang w:eastAsia="ja-JP"/>
        </w:rPr>
        <w:t xml:space="preserve">remains </w:t>
      </w:r>
      <w:r>
        <w:rPr>
          <w:rFonts w:cs="Arial"/>
          <w:szCs w:val="20"/>
          <w:lang w:eastAsia="ja-JP"/>
        </w:rPr>
        <w:t xml:space="preserve">limited. </w:t>
      </w:r>
    </w:p>
    <w:p w14:paraId="5EE53AD0" w14:textId="77777777" w:rsidR="00862A8A" w:rsidRDefault="00862A8A" w:rsidP="00862A8A">
      <w:pPr>
        <w:keepNext/>
        <w:jc w:val="center"/>
      </w:pPr>
      <w:r w:rsidRPr="007D3AF9">
        <w:rPr>
          <w:noProof/>
        </w:rPr>
        <w:drawing>
          <wp:inline distT="0" distB="0" distL="0" distR="0" wp14:anchorId="6B1C509A" wp14:editId="384D177C">
            <wp:extent cx="4881245" cy="781050"/>
            <wp:effectExtent l="0" t="0" r="0" b="0"/>
            <wp:docPr id="16692383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1245" cy="781050"/>
                    </a:xfrm>
                    <a:prstGeom prst="rect">
                      <a:avLst/>
                    </a:prstGeom>
                    <a:noFill/>
                    <a:ln>
                      <a:noFill/>
                    </a:ln>
                  </pic:spPr>
                </pic:pic>
              </a:graphicData>
            </a:graphic>
          </wp:inline>
        </w:drawing>
      </w:r>
    </w:p>
    <w:p w14:paraId="1B0E31DB" w14:textId="4B8E5A94" w:rsidR="00862A8A" w:rsidRDefault="00862A8A" w:rsidP="00862A8A">
      <w:pPr>
        <w:pStyle w:val="Caption"/>
        <w:jc w:val="center"/>
      </w:pPr>
      <w:r>
        <w:t xml:space="preserve">Figure </w:t>
      </w:r>
      <w:r w:rsidR="00F477FF">
        <w:t>2</w:t>
      </w:r>
      <w:r>
        <w:t xml:space="preserve">: </w:t>
      </w:r>
      <w:r w:rsidRPr="00212E35">
        <w:t>Downlink scheduling restrictions due to UCI multiplexing onto PUSCH.</w:t>
      </w:r>
    </w:p>
    <w:p w14:paraId="0A9B4E71" w14:textId="77777777" w:rsidR="00862A8A" w:rsidRDefault="00862A8A" w:rsidP="00862A8A">
      <w:pPr>
        <w:pStyle w:val="BodyText"/>
      </w:pPr>
    </w:p>
    <w:p w14:paraId="031CFB27" w14:textId="77777777" w:rsidR="00862A8A" w:rsidRPr="009D435A" w:rsidRDefault="00862A8A" w:rsidP="00862A8A">
      <w:pPr>
        <w:jc w:val="both"/>
        <w:rPr>
          <w:rFonts w:cs="Arial"/>
          <w:b/>
          <w:bCs/>
          <w:szCs w:val="20"/>
          <w:lang w:eastAsia="ja-JP"/>
        </w:rPr>
      </w:pPr>
      <w:r w:rsidRPr="009D435A">
        <w:rPr>
          <w:rFonts w:cs="Arial"/>
          <w:b/>
          <w:bCs/>
          <w:szCs w:val="20"/>
          <w:lang w:eastAsia="ja-JP"/>
        </w:rPr>
        <w:t>Example 3 – aggregation cross numerologies restricting downlink scheduling</w:t>
      </w:r>
    </w:p>
    <w:p w14:paraId="09DBC031" w14:textId="43EF93AB" w:rsidR="00862A8A" w:rsidRDefault="00862A8A" w:rsidP="00862A8A">
      <w:pPr>
        <w:jc w:val="both"/>
        <w:rPr>
          <w:rFonts w:cs="Arial"/>
          <w:szCs w:val="20"/>
          <w:lang w:eastAsia="ja-JP"/>
        </w:rPr>
      </w:pPr>
      <w:r>
        <w:rPr>
          <w:rFonts w:cs="Arial"/>
          <w:szCs w:val="20"/>
          <w:lang w:eastAsia="ja-JP"/>
        </w:rPr>
        <w:t xml:space="preserve">In case of FDD-TDD carrier aggregation, different subcarrier spacings are used. </w:t>
      </w:r>
      <w:r w:rsidR="00CA6B36">
        <w:rPr>
          <w:rFonts w:cs="Arial"/>
          <w:szCs w:val="20"/>
          <w:lang w:eastAsia="ja-JP"/>
        </w:rPr>
        <w:t>S</w:t>
      </w:r>
      <w:r>
        <w:rPr>
          <w:rFonts w:cs="Arial"/>
          <w:szCs w:val="20"/>
          <w:lang w:eastAsia="ja-JP"/>
        </w:rPr>
        <w:t xml:space="preserve">imultaneous PUSCH and PUCCH transmission is not </w:t>
      </w:r>
      <w:proofErr w:type="gramStart"/>
      <w:r>
        <w:rPr>
          <w:rFonts w:cs="Arial"/>
          <w:szCs w:val="20"/>
          <w:lang w:eastAsia="ja-JP"/>
        </w:rPr>
        <w:t>mandatory</w:t>
      </w:r>
      <w:proofErr w:type="gramEnd"/>
      <w:r>
        <w:rPr>
          <w:rFonts w:cs="Arial"/>
          <w:szCs w:val="20"/>
          <w:lang w:eastAsia="ja-JP"/>
        </w:rPr>
        <w:t xml:space="preserve"> and the UE is not expected to multiplex HARQ-ACKs from TDD downlink transmissions associated </w:t>
      </w:r>
      <w:r w:rsidR="00C31C94">
        <w:rPr>
          <w:rFonts w:cs="Arial"/>
          <w:szCs w:val="20"/>
          <w:lang w:eastAsia="ja-JP"/>
        </w:rPr>
        <w:t>with</w:t>
      </w:r>
      <w:r>
        <w:rPr>
          <w:rFonts w:cs="Arial"/>
          <w:szCs w:val="20"/>
          <w:lang w:eastAsia="ja-JP"/>
        </w:rPr>
        <w:t xml:space="preserve"> two PUCCHs onto an uplink FDD PUSCH. This in turn results in scheduling only one PUCCH and hence impacts the scheduling of PDSCHs that their corresponding HARQ-ACK cannot be associated with this PUCCH (for example due to limited K1 values or timeline requirements). The consequence is that some TDD downlink slots cannot be used for scheduling DL data as illustrated in Figure </w:t>
      </w:r>
      <w:r w:rsidR="00F477FF">
        <w:rPr>
          <w:rFonts w:cs="Arial"/>
          <w:szCs w:val="20"/>
          <w:lang w:eastAsia="ja-JP"/>
        </w:rPr>
        <w:t>3</w:t>
      </w:r>
      <w:r>
        <w:rPr>
          <w:rFonts w:cs="Arial"/>
          <w:szCs w:val="20"/>
          <w:lang w:eastAsia="ja-JP"/>
        </w:rPr>
        <w:t>.</w:t>
      </w:r>
    </w:p>
    <w:p w14:paraId="4E68D40B" w14:textId="77777777" w:rsidR="00862A8A" w:rsidRDefault="00862A8A" w:rsidP="00862A8A">
      <w:pPr>
        <w:jc w:val="both"/>
        <w:rPr>
          <w:rFonts w:cs="Arial"/>
          <w:szCs w:val="20"/>
          <w:lang w:eastAsia="ja-JP"/>
        </w:rPr>
      </w:pPr>
      <w:r>
        <w:rPr>
          <w:rFonts w:cs="Arial"/>
          <w:szCs w:val="20"/>
          <w:lang w:eastAsia="ja-JP"/>
        </w:rPr>
        <w:t xml:space="preserve">The corresponding specification text is found in 38.213: </w:t>
      </w:r>
      <w:r w:rsidRPr="00D41EE3">
        <w:rPr>
          <w:i/>
          <w:iCs/>
        </w:rPr>
        <w:t xml:space="preserve">A UE </w:t>
      </w:r>
      <w:r w:rsidRPr="00D41EE3">
        <w:rPr>
          <w:i/>
          <w:iCs/>
          <w:color w:val="FF0000"/>
          <w:lang w:eastAsia="x-none"/>
        </w:rPr>
        <w:t>does not expect to multiplex</w:t>
      </w:r>
      <w:r w:rsidRPr="00D41EE3">
        <w:rPr>
          <w:i/>
          <w:iCs/>
          <w:lang w:eastAsia="x-none"/>
        </w:rPr>
        <w:t xml:space="preserve"> in a PUSCH transmission in one slot with SCS configuration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1</m:t>
            </m:r>
          </m:sub>
        </m:sSub>
      </m:oMath>
      <w:r w:rsidRPr="00D41EE3">
        <w:rPr>
          <w:i/>
          <w:iCs/>
          <w:lang w:eastAsia="x-none"/>
        </w:rPr>
        <w:t xml:space="preserve"> UCI of same type that the UE would transmit in PUCCHs in different slots with SCS configuration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2</m:t>
            </m:r>
          </m:sub>
        </m:sSub>
      </m:oMath>
      <w:r w:rsidRPr="00D41EE3">
        <w:rPr>
          <w:i/>
          <w:iCs/>
        </w:rPr>
        <w:t xml:space="preserve"> if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2</m:t>
            </m:r>
          </m:sub>
        </m:sSub>
      </m:oMath>
      <w:r w:rsidRPr="00D41EE3">
        <w:rPr>
          <w:i/>
          <w:iCs/>
        </w:rPr>
        <w:t>.</w:t>
      </w:r>
    </w:p>
    <w:p w14:paraId="269B9C54" w14:textId="77777777" w:rsidR="00862A8A" w:rsidRDefault="00862A8A" w:rsidP="00862A8A">
      <w:pPr>
        <w:keepNext/>
        <w:jc w:val="both"/>
      </w:pPr>
    </w:p>
    <w:p w14:paraId="3AC9141D" w14:textId="77777777" w:rsidR="00862A8A" w:rsidRDefault="00862A8A" w:rsidP="00862A8A">
      <w:pPr>
        <w:keepNext/>
        <w:jc w:val="both"/>
      </w:pPr>
    </w:p>
    <w:p w14:paraId="4F156EF5" w14:textId="77777777" w:rsidR="00862A8A" w:rsidRDefault="00862A8A" w:rsidP="00862A8A">
      <w:pPr>
        <w:keepNext/>
        <w:jc w:val="center"/>
      </w:pPr>
      <w:r w:rsidRPr="00BE0E40">
        <w:rPr>
          <w:noProof/>
        </w:rPr>
        <w:drawing>
          <wp:inline distT="0" distB="0" distL="0" distR="0" wp14:anchorId="008ACD7D" wp14:editId="67F9D4ED">
            <wp:extent cx="5276850" cy="1308100"/>
            <wp:effectExtent l="0" t="0" r="0" b="6350"/>
            <wp:docPr id="10950804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6850" cy="1308100"/>
                    </a:xfrm>
                    <a:prstGeom prst="rect">
                      <a:avLst/>
                    </a:prstGeom>
                    <a:noFill/>
                    <a:ln>
                      <a:noFill/>
                    </a:ln>
                  </pic:spPr>
                </pic:pic>
              </a:graphicData>
            </a:graphic>
          </wp:inline>
        </w:drawing>
      </w:r>
    </w:p>
    <w:p w14:paraId="044E7F5B" w14:textId="5900D199" w:rsidR="00862A8A" w:rsidRDefault="00862A8A" w:rsidP="00862A8A">
      <w:pPr>
        <w:pStyle w:val="Caption"/>
        <w:jc w:val="center"/>
        <w:rPr>
          <w:rFonts w:cs="Arial"/>
          <w:szCs w:val="20"/>
          <w:lang w:eastAsia="ja-JP"/>
        </w:rPr>
      </w:pPr>
      <w:r>
        <w:t xml:space="preserve">Figure </w:t>
      </w:r>
      <w:r w:rsidR="00F477FF">
        <w:t>3</w:t>
      </w:r>
      <w:r>
        <w:t>: Aggregation cross numerologies restricting downlink transmissions.</w:t>
      </w:r>
    </w:p>
    <w:p w14:paraId="52786B13" w14:textId="77777777" w:rsidR="00862A8A" w:rsidRDefault="00862A8A" w:rsidP="00862A8A">
      <w:pPr>
        <w:pStyle w:val="BodyText"/>
      </w:pPr>
    </w:p>
    <w:p w14:paraId="70B08766" w14:textId="77777777" w:rsidR="00862A8A" w:rsidRPr="009D435A" w:rsidRDefault="00862A8A" w:rsidP="00862A8A">
      <w:pPr>
        <w:jc w:val="both"/>
        <w:rPr>
          <w:rFonts w:cs="Arial"/>
          <w:b/>
          <w:bCs/>
          <w:szCs w:val="20"/>
          <w:lang w:eastAsia="ja-JP"/>
        </w:rPr>
      </w:pPr>
      <w:r w:rsidRPr="009D435A">
        <w:rPr>
          <w:rFonts w:cs="Arial"/>
          <w:b/>
          <w:bCs/>
          <w:szCs w:val="20"/>
          <w:lang w:eastAsia="ja-JP"/>
        </w:rPr>
        <w:t>Example 4 – DAI coordination across downlink carriers</w:t>
      </w:r>
    </w:p>
    <w:p w14:paraId="7CBB7902" w14:textId="77777777" w:rsidR="00C31C94" w:rsidRPr="00C31C94" w:rsidRDefault="00862A8A" w:rsidP="00C31C94">
      <w:pPr>
        <w:pStyle w:val="BodyText"/>
      </w:pPr>
      <w:r w:rsidRPr="00C31C94">
        <w:t xml:space="preserve">Scheduling is a complex and time critical processing block in the base station. Scheduling decisions for several hundreds of users (typically with varying UE capabilities) in multiple cells need to be taken within a few hundred microseconds. Depending on the implementation, the coordination across cells might look different, but at sufficiently high loads multiple processes/CPUs are needed, which increases the coordination complexity. </w:t>
      </w:r>
    </w:p>
    <w:p w14:paraId="2CDD2C25" w14:textId="0F75C98E" w:rsidR="00862A8A" w:rsidRDefault="00862A8A" w:rsidP="00862A8A">
      <w:pPr>
        <w:jc w:val="both"/>
        <w:rPr>
          <w:rFonts w:cs="Arial"/>
          <w:szCs w:val="20"/>
          <w:lang w:eastAsia="ja-JP"/>
        </w:rPr>
      </w:pPr>
      <w:r>
        <w:rPr>
          <w:rFonts w:cs="Arial"/>
          <w:szCs w:val="20"/>
          <w:lang w:eastAsia="ja-JP"/>
        </w:rPr>
        <w:t xml:space="preserve">One example is </w:t>
      </w:r>
      <w:r w:rsidRPr="007509D6">
        <w:rPr>
          <w:rFonts w:cs="Arial"/>
          <w:szCs w:val="20"/>
          <w:lang w:eastAsia="ja-JP"/>
        </w:rPr>
        <w:t>scheduling</w:t>
      </w:r>
      <w:r>
        <w:rPr>
          <w:rFonts w:cs="Arial"/>
          <w:szCs w:val="20"/>
          <w:lang w:eastAsia="ja-JP"/>
        </w:rPr>
        <w:t xml:space="preserve"> </w:t>
      </w:r>
      <w:r w:rsidRPr="007509D6">
        <w:rPr>
          <w:rFonts w:cs="Arial"/>
          <w:szCs w:val="20"/>
          <w:lang w:eastAsia="ja-JP"/>
        </w:rPr>
        <w:t xml:space="preserve">PUCCH resources for HARQ feedback </w:t>
      </w:r>
      <w:r>
        <w:rPr>
          <w:rFonts w:cs="Arial"/>
          <w:szCs w:val="20"/>
          <w:lang w:eastAsia="ja-JP"/>
        </w:rPr>
        <w:t>in CA. S</w:t>
      </w:r>
      <w:r w:rsidRPr="007509D6">
        <w:rPr>
          <w:rFonts w:cs="Arial"/>
          <w:szCs w:val="20"/>
          <w:lang w:eastAsia="ja-JP"/>
        </w:rPr>
        <w:t xml:space="preserve">cheduling </w:t>
      </w:r>
      <w:r>
        <w:rPr>
          <w:rFonts w:cs="Arial"/>
          <w:szCs w:val="20"/>
          <w:lang w:eastAsia="ja-JP"/>
        </w:rPr>
        <w:t>for</w:t>
      </w:r>
      <w:r w:rsidRPr="007509D6">
        <w:rPr>
          <w:rFonts w:cs="Arial"/>
          <w:szCs w:val="20"/>
          <w:lang w:eastAsia="ja-JP"/>
        </w:rPr>
        <w:t xml:space="preserve"> each carrier needs to be </w:t>
      </w:r>
      <w:r>
        <w:rPr>
          <w:rFonts w:cs="Arial"/>
          <w:szCs w:val="20"/>
          <w:lang w:eastAsia="ja-JP"/>
        </w:rPr>
        <w:t xml:space="preserve">completed </w:t>
      </w:r>
      <w:r w:rsidRPr="007509D6">
        <w:rPr>
          <w:rFonts w:cs="Arial"/>
          <w:szCs w:val="20"/>
          <w:lang w:eastAsia="ja-JP"/>
        </w:rPr>
        <w:t xml:space="preserve">before </w:t>
      </w:r>
      <w:r w:rsidR="00285BB9">
        <w:rPr>
          <w:rFonts w:cs="Arial"/>
          <w:szCs w:val="20"/>
          <w:lang w:eastAsia="ja-JP"/>
        </w:rPr>
        <w:t xml:space="preserve">the </w:t>
      </w:r>
      <w:r w:rsidRPr="007509D6">
        <w:rPr>
          <w:rFonts w:cs="Arial"/>
          <w:szCs w:val="20"/>
          <w:lang w:eastAsia="ja-JP"/>
        </w:rPr>
        <w:t>PUCCH resource allocation</w:t>
      </w:r>
      <w:r>
        <w:rPr>
          <w:rFonts w:cs="Arial"/>
          <w:szCs w:val="20"/>
          <w:lang w:eastAsia="ja-JP"/>
        </w:rPr>
        <w:t xml:space="preserve">, including K1 and </w:t>
      </w:r>
      <w:r w:rsidR="00285BB9">
        <w:rPr>
          <w:rFonts w:cs="Arial"/>
          <w:szCs w:val="20"/>
          <w:lang w:eastAsia="ja-JP"/>
        </w:rPr>
        <w:t xml:space="preserve">the </w:t>
      </w:r>
      <w:r>
        <w:rPr>
          <w:rFonts w:cs="Arial"/>
          <w:szCs w:val="20"/>
          <w:lang w:eastAsia="ja-JP"/>
        </w:rPr>
        <w:t>PUCCH resource indicator</w:t>
      </w:r>
      <w:r w:rsidR="00285BB9">
        <w:rPr>
          <w:rFonts w:cs="Arial"/>
          <w:szCs w:val="20"/>
          <w:lang w:eastAsia="ja-JP"/>
        </w:rPr>
        <w:t xml:space="preserve"> (PRI)</w:t>
      </w:r>
      <w:r>
        <w:rPr>
          <w:rFonts w:cs="Arial"/>
          <w:szCs w:val="20"/>
          <w:lang w:eastAsia="ja-JP"/>
        </w:rPr>
        <w:t>, can be transmitted in the DCI.</w:t>
      </w:r>
      <w:r w:rsidRPr="007509D6">
        <w:rPr>
          <w:rFonts w:cs="Arial"/>
          <w:szCs w:val="20"/>
          <w:lang w:eastAsia="ja-JP"/>
        </w:rPr>
        <w:t xml:space="preserve"> </w:t>
      </w:r>
      <w:r>
        <w:rPr>
          <w:rFonts w:cs="Arial"/>
          <w:szCs w:val="20"/>
          <w:lang w:eastAsia="ja-JP"/>
        </w:rPr>
        <w:t>As shown in</w:t>
      </w:r>
      <w:r w:rsidRPr="007509D6">
        <w:rPr>
          <w:rFonts w:cs="Arial"/>
          <w:szCs w:val="20"/>
          <w:lang w:eastAsia="ja-JP"/>
        </w:rPr>
        <w:t xml:space="preserve"> </w:t>
      </w:r>
      <w:r>
        <w:rPr>
          <w:rFonts w:cs="Arial"/>
          <w:szCs w:val="20"/>
          <w:lang w:eastAsia="ja-JP"/>
        </w:rPr>
        <w:t xml:space="preserve">Figure </w:t>
      </w:r>
      <w:r w:rsidR="00F477FF">
        <w:rPr>
          <w:rFonts w:cs="Arial"/>
          <w:szCs w:val="20"/>
          <w:lang w:eastAsia="ja-JP"/>
        </w:rPr>
        <w:t>4</w:t>
      </w:r>
      <w:r w:rsidRPr="007509D6">
        <w:rPr>
          <w:rFonts w:cs="Arial"/>
          <w:szCs w:val="20"/>
          <w:lang w:eastAsia="ja-JP"/>
        </w:rPr>
        <w:t xml:space="preserve">, </w:t>
      </w:r>
      <w:r>
        <w:rPr>
          <w:rFonts w:cs="Arial"/>
          <w:szCs w:val="20"/>
          <w:lang w:eastAsia="ja-JP"/>
        </w:rPr>
        <w:t>this requires</w:t>
      </w:r>
      <w:r w:rsidRPr="007509D6">
        <w:rPr>
          <w:rFonts w:cs="Arial"/>
          <w:szCs w:val="20"/>
          <w:lang w:eastAsia="ja-JP"/>
        </w:rPr>
        <w:t xml:space="preserve"> </w:t>
      </w:r>
      <w:r>
        <w:rPr>
          <w:rFonts w:cs="Arial"/>
          <w:szCs w:val="20"/>
          <w:lang w:eastAsia="ja-JP"/>
        </w:rPr>
        <w:t xml:space="preserve">tight </w:t>
      </w:r>
      <w:r w:rsidRPr="007509D6">
        <w:rPr>
          <w:rFonts w:cs="Arial"/>
          <w:szCs w:val="20"/>
          <w:lang w:eastAsia="ja-JP"/>
        </w:rPr>
        <w:t>coordination between</w:t>
      </w:r>
      <w:r>
        <w:rPr>
          <w:rFonts w:cs="Arial"/>
          <w:szCs w:val="20"/>
          <w:lang w:eastAsia="ja-JP"/>
        </w:rPr>
        <w:t xml:space="preserve"> scheduling decisions for the</w:t>
      </w:r>
      <w:r w:rsidRPr="007509D6">
        <w:rPr>
          <w:rFonts w:cs="Arial"/>
          <w:szCs w:val="20"/>
          <w:lang w:eastAsia="ja-JP"/>
        </w:rPr>
        <w:t xml:space="preserve"> </w:t>
      </w:r>
      <w:proofErr w:type="spellStart"/>
      <w:r w:rsidRPr="007509D6">
        <w:rPr>
          <w:rFonts w:cs="Arial"/>
          <w:szCs w:val="20"/>
          <w:lang w:eastAsia="ja-JP"/>
        </w:rPr>
        <w:t>PCell</w:t>
      </w:r>
      <w:proofErr w:type="spellEnd"/>
      <w:r w:rsidRPr="007509D6">
        <w:rPr>
          <w:rFonts w:cs="Arial"/>
          <w:szCs w:val="20"/>
          <w:lang w:eastAsia="ja-JP"/>
        </w:rPr>
        <w:t xml:space="preserve"> and </w:t>
      </w:r>
      <w:r>
        <w:rPr>
          <w:rFonts w:cs="Arial"/>
          <w:szCs w:val="20"/>
          <w:lang w:eastAsia="ja-JP"/>
        </w:rPr>
        <w:t xml:space="preserve">scheduling decisions for each of the </w:t>
      </w:r>
      <w:proofErr w:type="spellStart"/>
      <w:r w:rsidRPr="007509D6">
        <w:rPr>
          <w:rFonts w:cs="Arial"/>
          <w:szCs w:val="20"/>
          <w:lang w:eastAsia="ja-JP"/>
        </w:rPr>
        <w:t>SCells</w:t>
      </w:r>
      <w:proofErr w:type="spellEnd"/>
      <w:r w:rsidRPr="007509D6">
        <w:rPr>
          <w:rFonts w:cs="Arial"/>
          <w:szCs w:val="20"/>
          <w:lang w:eastAsia="ja-JP"/>
        </w:rPr>
        <w:t xml:space="preserve">. Since the exact PUCCH resource to be chosen depends on the total size of the feedback bits, </w:t>
      </w:r>
      <w:r>
        <w:rPr>
          <w:rFonts w:cs="Arial"/>
          <w:szCs w:val="20"/>
          <w:lang w:eastAsia="ja-JP"/>
        </w:rPr>
        <w:t xml:space="preserve">the scheduling decision for the </w:t>
      </w:r>
      <w:proofErr w:type="spellStart"/>
      <w:r w:rsidRPr="007509D6">
        <w:rPr>
          <w:rFonts w:cs="Arial"/>
          <w:szCs w:val="20"/>
          <w:lang w:eastAsia="ja-JP"/>
        </w:rPr>
        <w:t>PCell</w:t>
      </w:r>
      <w:proofErr w:type="spellEnd"/>
      <w:r w:rsidRPr="007509D6">
        <w:rPr>
          <w:rFonts w:cs="Arial"/>
          <w:szCs w:val="20"/>
          <w:lang w:eastAsia="ja-JP"/>
        </w:rPr>
        <w:t xml:space="preserve"> needs to know </w:t>
      </w:r>
      <w:r>
        <w:rPr>
          <w:rFonts w:cs="Arial"/>
          <w:szCs w:val="20"/>
          <w:lang w:eastAsia="ja-JP"/>
        </w:rPr>
        <w:t>the number of</w:t>
      </w:r>
      <w:r w:rsidRPr="007509D6">
        <w:rPr>
          <w:rFonts w:cs="Arial"/>
          <w:szCs w:val="20"/>
          <w:lang w:eastAsia="ja-JP"/>
        </w:rPr>
        <w:t xml:space="preserve"> feedback bits </w:t>
      </w:r>
      <w:r>
        <w:rPr>
          <w:rFonts w:cs="Arial"/>
          <w:szCs w:val="20"/>
          <w:lang w:eastAsia="ja-JP"/>
        </w:rPr>
        <w:t xml:space="preserve">scheduling decisions for each of the </w:t>
      </w:r>
      <w:proofErr w:type="spellStart"/>
      <w:r>
        <w:rPr>
          <w:rFonts w:cs="Arial"/>
          <w:szCs w:val="20"/>
          <w:lang w:eastAsia="ja-JP"/>
        </w:rPr>
        <w:t>SCells</w:t>
      </w:r>
      <w:proofErr w:type="spellEnd"/>
      <w:r>
        <w:rPr>
          <w:rFonts w:cs="Arial"/>
          <w:szCs w:val="20"/>
          <w:lang w:eastAsia="ja-JP"/>
        </w:rPr>
        <w:t xml:space="preserve"> </w:t>
      </w:r>
      <w:r w:rsidRPr="007509D6">
        <w:rPr>
          <w:rFonts w:cs="Arial"/>
          <w:szCs w:val="20"/>
          <w:lang w:eastAsia="ja-JP"/>
        </w:rPr>
        <w:t>will produce</w:t>
      </w:r>
      <w:r>
        <w:rPr>
          <w:rFonts w:cs="Arial"/>
          <w:szCs w:val="20"/>
          <w:lang w:eastAsia="ja-JP"/>
        </w:rPr>
        <w:t xml:space="preserve"> (and vice versa)</w:t>
      </w:r>
      <w:r w:rsidRPr="007509D6">
        <w:rPr>
          <w:rFonts w:cs="Arial"/>
          <w:szCs w:val="20"/>
          <w:lang w:eastAsia="ja-JP"/>
        </w:rPr>
        <w:t xml:space="preserve">. Similarly, </w:t>
      </w:r>
      <w:r>
        <w:rPr>
          <w:rFonts w:cs="Arial"/>
          <w:szCs w:val="20"/>
          <w:lang w:eastAsia="ja-JP"/>
        </w:rPr>
        <w:t xml:space="preserve">the scheduling decisions taken for the </w:t>
      </w:r>
      <w:proofErr w:type="spellStart"/>
      <w:r>
        <w:rPr>
          <w:rFonts w:cs="Arial"/>
          <w:szCs w:val="20"/>
          <w:lang w:eastAsia="ja-JP"/>
        </w:rPr>
        <w:t>SCells</w:t>
      </w:r>
      <w:proofErr w:type="spellEnd"/>
      <w:r>
        <w:rPr>
          <w:rFonts w:cs="Arial"/>
          <w:szCs w:val="20"/>
          <w:lang w:eastAsia="ja-JP"/>
        </w:rPr>
        <w:t xml:space="preserve"> </w:t>
      </w:r>
      <w:r w:rsidRPr="007509D6">
        <w:rPr>
          <w:rFonts w:cs="Arial"/>
          <w:szCs w:val="20"/>
          <w:lang w:eastAsia="ja-JP"/>
        </w:rPr>
        <w:t>need to know the PUCCH resource</w:t>
      </w:r>
      <w:r>
        <w:rPr>
          <w:rFonts w:cs="Arial"/>
          <w:szCs w:val="20"/>
          <w:lang w:eastAsia="ja-JP"/>
        </w:rPr>
        <w:t xml:space="preserve"> on the </w:t>
      </w:r>
      <w:proofErr w:type="spellStart"/>
      <w:r>
        <w:rPr>
          <w:rFonts w:cs="Arial"/>
          <w:szCs w:val="20"/>
          <w:lang w:eastAsia="ja-JP"/>
        </w:rPr>
        <w:t>PCell</w:t>
      </w:r>
      <w:proofErr w:type="spellEnd"/>
      <w:r w:rsidR="00285BB9">
        <w:rPr>
          <w:rFonts w:cs="Arial"/>
          <w:szCs w:val="20"/>
          <w:lang w:eastAsia="ja-JP"/>
        </w:rPr>
        <w:t xml:space="preserve"> </w:t>
      </w:r>
      <w:r w:rsidRPr="007509D6">
        <w:rPr>
          <w:rFonts w:cs="Arial"/>
          <w:szCs w:val="20"/>
          <w:lang w:eastAsia="ja-JP"/>
        </w:rPr>
        <w:t>to</w:t>
      </w:r>
      <w:r>
        <w:rPr>
          <w:rFonts w:cs="Arial"/>
          <w:szCs w:val="20"/>
          <w:lang w:eastAsia="ja-JP"/>
        </w:rPr>
        <w:t xml:space="preserve"> inform the UE in the DCI</w:t>
      </w:r>
      <w:r w:rsidRPr="007509D6">
        <w:rPr>
          <w:rFonts w:cs="Arial"/>
          <w:szCs w:val="20"/>
          <w:lang w:eastAsia="ja-JP"/>
        </w:rPr>
        <w:t xml:space="preserve">. </w:t>
      </w:r>
      <w:r>
        <w:rPr>
          <w:rFonts w:cs="Arial"/>
          <w:szCs w:val="20"/>
          <w:lang w:eastAsia="ja-JP"/>
        </w:rPr>
        <w:t>Such tight</w:t>
      </w:r>
      <w:r w:rsidRPr="007509D6">
        <w:rPr>
          <w:rFonts w:cs="Arial"/>
          <w:szCs w:val="20"/>
          <w:lang w:eastAsia="ja-JP"/>
        </w:rPr>
        <w:t xml:space="preserve"> coordination is </w:t>
      </w:r>
      <w:r>
        <w:rPr>
          <w:rFonts w:cs="Arial"/>
          <w:szCs w:val="20"/>
          <w:lang w:eastAsia="ja-JP"/>
        </w:rPr>
        <w:t xml:space="preserve">also </w:t>
      </w:r>
      <w:r w:rsidRPr="007509D6">
        <w:rPr>
          <w:rFonts w:cs="Arial"/>
          <w:szCs w:val="20"/>
          <w:lang w:eastAsia="ja-JP"/>
        </w:rPr>
        <w:t xml:space="preserve">needed for </w:t>
      </w:r>
      <w:r>
        <w:rPr>
          <w:rFonts w:cs="Arial"/>
          <w:szCs w:val="20"/>
          <w:lang w:eastAsia="ja-JP"/>
        </w:rPr>
        <w:t>both counter and total downlink assignment index (</w:t>
      </w:r>
      <w:r w:rsidRPr="007509D6">
        <w:rPr>
          <w:rFonts w:cs="Arial"/>
          <w:szCs w:val="20"/>
          <w:lang w:eastAsia="ja-JP"/>
        </w:rPr>
        <w:t>DAI</w:t>
      </w:r>
      <w:r>
        <w:rPr>
          <w:rFonts w:cs="Arial"/>
          <w:szCs w:val="20"/>
          <w:lang w:eastAsia="ja-JP"/>
        </w:rPr>
        <w:t>)</w:t>
      </w:r>
      <w:r w:rsidRPr="007509D6">
        <w:rPr>
          <w:rFonts w:cs="Arial"/>
          <w:szCs w:val="20"/>
          <w:lang w:eastAsia="ja-JP"/>
        </w:rPr>
        <w:t xml:space="preserve"> indication</w:t>
      </w:r>
      <w:r>
        <w:rPr>
          <w:rFonts w:cs="Arial"/>
          <w:szCs w:val="20"/>
          <w:lang w:eastAsia="ja-JP"/>
        </w:rPr>
        <w:t>.</w:t>
      </w:r>
    </w:p>
    <w:p w14:paraId="3BF34854" w14:textId="77777777" w:rsidR="00862A8A" w:rsidRDefault="00862A8A" w:rsidP="00862A8A">
      <w:pPr>
        <w:keepNext/>
        <w:jc w:val="center"/>
      </w:pPr>
      <w:r w:rsidRPr="00EC1726">
        <w:rPr>
          <w:noProof/>
        </w:rPr>
        <w:lastRenderedPageBreak/>
        <w:drawing>
          <wp:inline distT="0" distB="0" distL="0" distR="0" wp14:anchorId="766A81DB" wp14:editId="6F049A3A">
            <wp:extent cx="2782078" cy="1755656"/>
            <wp:effectExtent l="0" t="0" r="0" b="0"/>
            <wp:docPr id="1220426241" name="Picture 1220426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812407" name="Picture 1006812407"/>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782078" cy="1755656"/>
                    </a:xfrm>
                    <a:prstGeom prst="rect">
                      <a:avLst/>
                    </a:prstGeom>
                    <a:noFill/>
                  </pic:spPr>
                </pic:pic>
              </a:graphicData>
            </a:graphic>
          </wp:inline>
        </w:drawing>
      </w:r>
    </w:p>
    <w:p w14:paraId="7F2AA3E4" w14:textId="34C20070" w:rsidR="00862A8A" w:rsidRDefault="00862A8A" w:rsidP="00862A8A">
      <w:pPr>
        <w:pStyle w:val="Caption"/>
        <w:jc w:val="center"/>
      </w:pPr>
      <w:r>
        <w:t xml:space="preserve">Figure </w:t>
      </w:r>
      <w:r w:rsidR="00F477FF">
        <w:t>4</w:t>
      </w:r>
      <w:r>
        <w:t xml:space="preserve"> </w:t>
      </w:r>
      <w:r w:rsidRPr="00F11C9C">
        <w:t xml:space="preserve">Issue of tight coordination </w:t>
      </w:r>
      <w:r>
        <w:t>across schedulers</w:t>
      </w:r>
      <w:r w:rsidRPr="00F11C9C">
        <w:t xml:space="preserve"> for PUCCH allocatio</w:t>
      </w:r>
      <w:r>
        <w:t>n</w:t>
      </w:r>
      <w:r w:rsidRPr="00F11C9C">
        <w:t>.</w:t>
      </w:r>
    </w:p>
    <w:p w14:paraId="21DE58D1" w14:textId="77777777" w:rsidR="00862A8A" w:rsidRDefault="00862A8A" w:rsidP="00862A8A">
      <w:pPr>
        <w:jc w:val="both"/>
        <w:rPr>
          <w:rFonts w:cs="Arial"/>
          <w:b/>
          <w:bCs/>
          <w:szCs w:val="20"/>
          <w:lang w:eastAsia="ja-JP"/>
        </w:rPr>
      </w:pPr>
    </w:p>
    <w:p w14:paraId="6A020E7C" w14:textId="77777777" w:rsidR="00862A8A" w:rsidRPr="009D435A" w:rsidRDefault="00862A8A" w:rsidP="00862A8A">
      <w:pPr>
        <w:jc w:val="both"/>
        <w:rPr>
          <w:rFonts w:cs="Arial"/>
          <w:b/>
          <w:bCs/>
          <w:szCs w:val="20"/>
          <w:lang w:eastAsia="ja-JP"/>
        </w:rPr>
      </w:pPr>
      <w:r w:rsidRPr="009D435A">
        <w:rPr>
          <w:rFonts w:cs="Arial"/>
          <w:b/>
          <w:bCs/>
          <w:szCs w:val="20"/>
          <w:lang w:eastAsia="ja-JP"/>
        </w:rPr>
        <w:t>Example 5 – selection of K1 values and resulting scheduling restrictions</w:t>
      </w:r>
    </w:p>
    <w:p w14:paraId="6BF28C9A" w14:textId="2F0D52A1" w:rsidR="00862A8A" w:rsidRDefault="00862A8A" w:rsidP="00862A8A">
      <w:pPr>
        <w:jc w:val="both"/>
        <w:rPr>
          <w:rFonts w:cs="Arial"/>
          <w:szCs w:val="20"/>
          <w:lang w:eastAsia="ja-JP"/>
        </w:rPr>
      </w:pPr>
      <w:r>
        <w:rPr>
          <w:rFonts w:cs="Arial"/>
          <w:szCs w:val="20"/>
          <w:lang w:eastAsia="ja-JP"/>
        </w:rPr>
        <w:t>C</w:t>
      </w:r>
      <w:r w:rsidRPr="007509D6">
        <w:rPr>
          <w:rFonts w:cs="Arial"/>
          <w:szCs w:val="20"/>
          <w:lang w:eastAsia="ja-JP"/>
        </w:rPr>
        <w:t xml:space="preserve">onfiguring </w:t>
      </w:r>
      <w:r>
        <w:rPr>
          <w:rFonts w:cs="Arial"/>
          <w:szCs w:val="20"/>
          <w:lang w:eastAsia="ja-JP"/>
        </w:rPr>
        <w:t xml:space="preserve">the set of possible K1 values for PUCCH timing indication </w:t>
      </w:r>
      <w:r w:rsidRPr="007509D6">
        <w:rPr>
          <w:rFonts w:cs="Arial"/>
          <w:szCs w:val="20"/>
          <w:lang w:eastAsia="ja-JP"/>
        </w:rPr>
        <w:t xml:space="preserve">is a significant source of complexity. In 5G, </w:t>
      </w:r>
      <w:r w:rsidR="00D93262" w:rsidRPr="007509D6">
        <w:rPr>
          <w:rFonts w:cs="Arial"/>
          <w:szCs w:val="20"/>
          <w:lang w:eastAsia="ja-JP"/>
        </w:rPr>
        <w:t xml:space="preserve">HARQ feedback is scheduled </w:t>
      </w:r>
      <w:r w:rsidR="00D93262">
        <w:rPr>
          <w:rFonts w:cs="Arial"/>
          <w:szCs w:val="20"/>
          <w:lang w:eastAsia="ja-JP"/>
        </w:rPr>
        <w:t>by the</w:t>
      </w:r>
      <w:r w:rsidR="00D93262" w:rsidRPr="007509D6">
        <w:rPr>
          <w:rFonts w:cs="Arial"/>
          <w:szCs w:val="20"/>
          <w:lang w:eastAsia="ja-JP"/>
        </w:rPr>
        <w:t xml:space="preserve"> </w:t>
      </w:r>
      <w:proofErr w:type="spellStart"/>
      <w:r w:rsidR="00D93262" w:rsidRPr="007509D6">
        <w:rPr>
          <w:rFonts w:cs="Arial"/>
          <w:szCs w:val="20"/>
          <w:lang w:eastAsia="ja-JP"/>
        </w:rPr>
        <w:t>PCell</w:t>
      </w:r>
      <w:proofErr w:type="spellEnd"/>
      <w:r w:rsidR="00D93262" w:rsidRPr="007509D6">
        <w:rPr>
          <w:rFonts w:cs="Arial"/>
          <w:szCs w:val="20"/>
          <w:lang w:eastAsia="ja-JP"/>
        </w:rPr>
        <w:t xml:space="preserve"> </w:t>
      </w:r>
      <w:r w:rsidRPr="007509D6">
        <w:rPr>
          <w:rFonts w:cs="Arial"/>
          <w:szCs w:val="20"/>
          <w:lang w:eastAsia="ja-JP"/>
        </w:rPr>
        <w:t xml:space="preserve">while </w:t>
      </w:r>
      <w:r>
        <w:rPr>
          <w:rFonts w:cs="Arial"/>
          <w:szCs w:val="20"/>
          <w:lang w:eastAsia="ja-JP"/>
        </w:rPr>
        <w:t xml:space="preserve">the </w:t>
      </w:r>
      <w:r w:rsidRPr="007509D6">
        <w:rPr>
          <w:rFonts w:cs="Arial"/>
          <w:szCs w:val="20"/>
          <w:lang w:eastAsia="ja-JP"/>
        </w:rPr>
        <w:t xml:space="preserve">actual PDSCH </w:t>
      </w:r>
      <w:r>
        <w:rPr>
          <w:rFonts w:cs="Arial"/>
          <w:szCs w:val="20"/>
          <w:lang w:eastAsia="ja-JP"/>
        </w:rPr>
        <w:t>can be</w:t>
      </w:r>
      <w:r w:rsidRPr="007509D6">
        <w:rPr>
          <w:rFonts w:cs="Arial"/>
          <w:szCs w:val="20"/>
          <w:lang w:eastAsia="ja-JP"/>
        </w:rPr>
        <w:t xml:space="preserve"> scheduled </w:t>
      </w:r>
      <w:r>
        <w:rPr>
          <w:rFonts w:cs="Arial"/>
          <w:szCs w:val="20"/>
          <w:lang w:eastAsia="ja-JP"/>
        </w:rPr>
        <w:t xml:space="preserve">on another </w:t>
      </w:r>
      <w:r w:rsidRPr="007509D6">
        <w:rPr>
          <w:rFonts w:cs="Arial"/>
          <w:szCs w:val="20"/>
          <w:lang w:eastAsia="ja-JP"/>
        </w:rPr>
        <w:t>cell which</w:t>
      </w:r>
      <w:r>
        <w:rPr>
          <w:rFonts w:cs="Arial"/>
          <w:szCs w:val="20"/>
          <w:lang w:eastAsia="ja-JP"/>
        </w:rPr>
        <w:t xml:space="preserve"> may</w:t>
      </w:r>
      <w:r w:rsidRPr="007509D6">
        <w:rPr>
          <w:rFonts w:cs="Arial"/>
          <w:szCs w:val="20"/>
          <w:lang w:eastAsia="ja-JP"/>
        </w:rPr>
        <w:t xml:space="preserve"> use a numerology and TDD/FDD pattern</w:t>
      </w:r>
      <w:r>
        <w:rPr>
          <w:rFonts w:cs="Arial"/>
          <w:szCs w:val="20"/>
          <w:lang w:eastAsia="ja-JP"/>
        </w:rPr>
        <w:t xml:space="preserve"> different from </w:t>
      </w:r>
      <w:r w:rsidR="00285BB9">
        <w:rPr>
          <w:rFonts w:cs="Arial"/>
          <w:szCs w:val="20"/>
          <w:lang w:eastAsia="ja-JP"/>
        </w:rPr>
        <w:t xml:space="preserve">those of </w:t>
      </w:r>
      <w:r>
        <w:rPr>
          <w:rFonts w:cs="Arial"/>
          <w:szCs w:val="20"/>
          <w:lang w:eastAsia="ja-JP"/>
        </w:rPr>
        <w:t xml:space="preserve">the </w:t>
      </w:r>
      <w:proofErr w:type="spellStart"/>
      <w:r w:rsidRPr="007509D6">
        <w:rPr>
          <w:rFonts w:cs="Arial"/>
          <w:szCs w:val="20"/>
          <w:lang w:eastAsia="ja-JP"/>
        </w:rPr>
        <w:t>PCell</w:t>
      </w:r>
      <w:proofErr w:type="spellEnd"/>
      <w:r w:rsidRPr="007509D6">
        <w:rPr>
          <w:rFonts w:cs="Arial"/>
          <w:szCs w:val="20"/>
          <w:lang w:eastAsia="ja-JP"/>
        </w:rPr>
        <w:t>. Various UE processing capabilit</w:t>
      </w:r>
      <w:r>
        <w:rPr>
          <w:rFonts w:cs="Arial"/>
          <w:szCs w:val="20"/>
          <w:lang w:eastAsia="ja-JP"/>
        </w:rPr>
        <w:t>ies</w:t>
      </w:r>
      <w:r w:rsidRPr="007509D6">
        <w:rPr>
          <w:rFonts w:cs="Arial"/>
          <w:szCs w:val="20"/>
          <w:lang w:eastAsia="ja-JP"/>
        </w:rPr>
        <w:t xml:space="preserve"> and minimum timeline requirements for </w:t>
      </w:r>
      <w:r>
        <w:rPr>
          <w:rFonts w:cs="Arial"/>
          <w:szCs w:val="20"/>
          <w:lang w:eastAsia="ja-JP"/>
        </w:rPr>
        <w:t>UCI</w:t>
      </w:r>
      <w:r w:rsidRPr="007509D6">
        <w:rPr>
          <w:rFonts w:cs="Arial"/>
          <w:szCs w:val="20"/>
          <w:lang w:eastAsia="ja-JP"/>
        </w:rPr>
        <w:t xml:space="preserve"> multiplexing </w:t>
      </w:r>
      <w:r>
        <w:rPr>
          <w:rFonts w:cs="Arial"/>
          <w:szCs w:val="20"/>
          <w:lang w:eastAsia="ja-JP"/>
        </w:rPr>
        <w:t xml:space="preserve">into PUSCH </w:t>
      </w:r>
      <w:r w:rsidRPr="007509D6">
        <w:rPr>
          <w:rFonts w:cs="Arial"/>
          <w:szCs w:val="20"/>
          <w:lang w:eastAsia="ja-JP"/>
        </w:rPr>
        <w:t xml:space="preserve">are another </w:t>
      </w:r>
      <w:r>
        <w:rPr>
          <w:rFonts w:cs="Arial"/>
          <w:szCs w:val="20"/>
          <w:lang w:eastAsia="ja-JP"/>
        </w:rPr>
        <w:t>source of complexity which must</w:t>
      </w:r>
      <w:r w:rsidRPr="007509D6">
        <w:rPr>
          <w:rFonts w:cs="Arial"/>
          <w:szCs w:val="20"/>
          <w:lang w:eastAsia="ja-JP"/>
        </w:rPr>
        <w:t xml:space="preserve"> be considered in </w:t>
      </w:r>
      <w:r>
        <w:rPr>
          <w:rFonts w:cs="Arial"/>
          <w:szCs w:val="20"/>
          <w:lang w:eastAsia="ja-JP"/>
        </w:rPr>
        <w:t xml:space="preserve">the </w:t>
      </w:r>
      <w:r w:rsidRPr="007509D6">
        <w:rPr>
          <w:rFonts w:cs="Arial"/>
          <w:szCs w:val="20"/>
          <w:lang w:eastAsia="ja-JP"/>
        </w:rPr>
        <w:t xml:space="preserve">K1 </w:t>
      </w:r>
      <w:r>
        <w:rPr>
          <w:rFonts w:cs="Arial"/>
          <w:szCs w:val="20"/>
          <w:lang w:eastAsia="ja-JP"/>
        </w:rPr>
        <w:t>value selection</w:t>
      </w:r>
      <w:r w:rsidRPr="007509D6">
        <w:rPr>
          <w:rFonts w:cs="Arial"/>
          <w:szCs w:val="20"/>
          <w:lang w:eastAsia="ja-JP"/>
        </w:rPr>
        <w:t>.</w:t>
      </w:r>
      <w:r w:rsidRPr="004871D1">
        <w:rPr>
          <w:rFonts w:cs="Arial"/>
          <w:szCs w:val="20"/>
          <w:lang w:eastAsia="ja-JP"/>
        </w:rPr>
        <w:t xml:space="preserve"> </w:t>
      </w:r>
      <w:r>
        <w:rPr>
          <w:rFonts w:cs="Arial"/>
          <w:szCs w:val="20"/>
          <w:lang w:eastAsia="ja-JP"/>
        </w:rPr>
        <w:t xml:space="preserve">Figure </w:t>
      </w:r>
      <w:r w:rsidR="00F477FF">
        <w:rPr>
          <w:rFonts w:cs="Arial"/>
          <w:szCs w:val="20"/>
          <w:lang w:eastAsia="ja-JP"/>
        </w:rPr>
        <w:t>5</w:t>
      </w:r>
      <w:r>
        <w:rPr>
          <w:rFonts w:cs="Arial"/>
          <w:szCs w:val="20"/>
          <w:lang w:eastAsia="ja-JP"/>
        </w:rPr>
        <w:t xml:space="preserve"> </w:t>
      </w:r>
      <w:r w:rsidRPr="007509D6">
        <w:rPr>
          <w:rFonts w:cs="Arial"/>
          <w:szCs w:val="20"/>
          <w:lang w:eastAsia="ja-JP"/>
        </w:rPr>
        <w:t xml:space="preserve">illustrates </w:t>
      </w:r>
      <w:r>
        <w:rPr>
          <w:rFonts w:cs="Arial"/>
          <w:szCs w:val="20"/>
          <w:lang w:eastAsia="ja-JP"/>
        </w:rPr>
        <w:t>an</w:t>
      </w:r>
      <w:r w:rsidRPr="007509D6">
        <w:rPr>
          <w:rFonts w:cs="Arial"/>
          <w:szCs w:val="20"/>
          <w:lang w:eastAsia="ja-JP"/>
        </w:rPr>
        <w:t xml:space="preserve"> example </w:t>
      </w:r>
      <w:r>
        <w:rPr>
          <w:rFonts w:cs="Arial"/>
          <w:szCs w:val="20"/>
          <w:lang w:eastAsia="ja-JP"/>
        </w:rPr>
        <w:t>with</w:t>
      </w:r>
      <w:r w:rsidRPr="007509D6">
        <w:rPr>
          <w:rFonts w:cs="Arial"/>
          <w:szCs w:val="20"/>
          <w:lang w:eastAsia="ja-JP"/>
        </w:rPr>
        <w:t xml:space="preserve"> </w:t>
      </w:r>
      <w:r>
        <w:rPr>
          <w:rFonts w:cs="Arial"/>
          <w:szCs w:val="20"/>
          <w:lang w:eastAsia="ja-JP"/>
        </w:rPr>
        <w:t xml:space="preserve">the </w:t>
      </w:r>
      <w:r w:rsidRPr="007509D6">
        <w:rPr>
          <w:rFonts w:cs="Arial"/>
          <w:szCs w:val="20"/>
          <w:lang w:eastAsia="ja-JP"/>
        </w:rPr>
        <w:t xml:space="preserve">K1 set = {3, 4, 6, 7, 8, 9, 11, 12} when 30kHz TDD </w:t>
      </w:r>
      <w:proofErr w:type="spellStart"/>
      <w:r w:rsidRPr="007509D6">
        <w:rPr>
          <w:rFonts w:cs="Arial"/>
          <w:szCs w:val="20"/>
          <w:lang w:eastAsia="ja-JP"/>
        </w:rPr>
        <w:t>PCell</w:t>
      </w:r>
      <w:proofErr w:type="spellEnd"/>
      <w:r w:rsidRPr="007509D6">
        <w:rPr>
          <w:rFonts w:cs="Arial"/>
          <w:szCs w:val="20"/>
          <w:lang w:eastAsia="ja-JP"/>
        </w:rPr>
        <w:t xml:space="preserve"> and 15kHz FDD </w:t>
      </w:r>
      <w:proofErr w:type="spellStart"/>
      <w:r w:rsidRPr="007509D6">
        <w:rPr>
          <w:rFonts w:cs="Arial"/>
          <w:szCs w:val="20"/>
          <w:lang w:eastAsia="ja-JP"/>
        </w:rPr>
        <w:t>SCell</w:t>
      </w:r>
      <w:proofErr w:type="spellEnd"/>
      <w:r w:rsidRPr="007509D6">
        <w:rPr>
          <w:rFonts w:cs="Arial"/>
          <w:szCs w:val="20"/>
          <w:lang w:eastAsia="ja-JP"/>
        </w:rPr>
        <w:t xml:space="preserve"> are configured for DL CA. In </w:t>
      </w:r>
      <w:r>
        <w:rPr>
          <w:rFonts w:cs="Arial"/>
          <w:szCs w:val="20"/>
          <w:lang w:eastAsia="ja-JP"/>
        </w:rPr>
        <w:t>this</w:t>
      </w:r>
      <w:r w:rsidRPr="007509D6">
        <w:rPr>
          <w:rFonts w:cs="Arial"/>
          <w:szCs w:val="20"/>
          <w:lang w:eastAsia="ja-JP"/>
        </w:rPr>
        <w:t xml:space="preserve"> example, K1=5 is needed</w:t>
      </w:r>
      <w:r>
        <w:rPr>
          <w:rFonts w:cs="Arial"/>
          <w:szCs w:val="20"/>
          <w:lang w:eastAsia="ja-JP"/>
        </w:rPr>
        <w:t xml:space="preserve">. Unfortunately, K1=5 is not part of the </w:t>
      </w:r>
      <w:proofErr w:type="gramStart"/>
      <w:r>
        <w:rPr>
          <w:rFonts w:cs="Arial"/>
          <w:szCs w:val="20"/>
          <w:lang w:eastAsia="ja-JP"/>
        </w:rPr>
        <w:t>set</w:t>
      </w:r>
      <w:proofErr w:type="gramEnd"/>
      <w:r>
        <w:rPr>
          <w:rFonts w:cs="Arial"/>
          <w:szCs w:val="20"/>
          <w:lang w:eastAsia="ja-JP"/>
        </w:rPr>
        <w:t xml:space="preserve"> and it is not possible to include it either – the set is already filled with other values, all needed for other scheduling cases.</w:t>
      </w:r>
      <w:r w:rsidRPr="007509D6">
        <w:rPr>
          <w:rFonts w:cs="Arial"/>
          <w:szCs w:val="20"/>
          <w:lang w:eastAsia="ja-JP"/>
        </w:rPr>
        <w:t xml:space="preserve"> </w:t>
      </w:r>
      <w:r>
        <w:rPr>
          <w:rFonts w:cs="Arial"/>
          <w:szCs w:val="20"/>
          <w:lang w:eastAsia="ja-JP"/>
        </w:rPr>
        <w:t>Furthermore, (time-consuming) reconfiguration of t</w:t>
      </w:r>
      <w:r w:rsidRPr="007509D6">
        <w:rPr>
          <w:rFonts w:cs="Arial"/>
          <w:szCs w:val="20"/>
          <w:lang w:eastAsia="ja-JP"/>
        </w:rPr>
        <w:t xml:space="preserve">he K1 set </w:t>
      </w:r>
      <w:r>
        <w:rPr>
          <w:rFonts w:cs="Arial"/>
          <w:szCs w:val="20"/>
          <w:lang w:eastAsia="ja-JP"/>
        </w:rPr>
        <w:t xml:space="preserve">may be needed </w:t>
      </w:r>
      <w:r w:rsidRPr="007509D6">
        <w:rPr>
          <w:rFonts w:cs="Arial"/>
          <w:szCs w:val="20"/>
          <w:lang w:eastAsia="ja-JP"/>
        </w:rPr>
        <w:t>whenever a new cell or a new UE type is added.</w:t>
      </w:r>
      <w:r>
        <w:rPr>
          <w:rFonts w:cs="Arial"/>
          <w:szCs w:val="20"/>
          <w:lang w:eastAsia="ja-JP"/>
        </w:rPr>
        <w:t xml:space="preserve"> The K2 values for PUSCH scheduling also need to be carefully selected to meet the UE timeline and to allow UCI multiplexing onto PUSCH. </w:t>
      </w:r>
    </w:p>
    <w:p w14:paraId="5308DCD1" w14:textId="77777777" w:rsidR="00862A8A" w:rsidRDefault="00862A8A" w:rsidP="00862A8A">
      <w:pPr>
        <w:jc w:val="both"/>
        <w:rPr>
          <w:rFonts w:cs="Arial"/>
          <w:szCs w:val="20"/>
          <w:lang w:eastAsia="ja-JP"/>
        </w:rPr>
      </w:pPr>
    </w:p>
    <w:p w14:paraId="160C14EC" w14:textId="77777777" w:rsidR="00862A8A" w:rsidRDefault="00862A8A" w:rsidP="00862A8A">
      <w:pPr>
        <w:keepNext/>
        <w:jc w:val="center"/>
      </w:pPr>
      <w:r w:rsidRPr="009F1B62">
        <w:rPr>
          <w:rFonts w:eastAsiaTheme="minorEastAsia" w:cs="Arial"/>
          <w:noProof/>
          <w:color w:val="000000" w:themeColor="dark1"/>
          <w:kern w:val="24"/>
          <w:szCs w:val="20"/>
          <w:lang w:eastAsia="ko-KR"/>
        </w:rPr>
        <w:drawing>
          <wp:inline distT="0" distB="0" distL="0" distR="0" wp14:anchorId="1E9DA406" wp14:editId="20AA44E3">
            <wp:extent cx="4257447" cy="1514554"/>
            <wp:effectExtent l="0" t="0" r="0" b="0"/>
            <wp:docPr id="1169590248" name="Picture 76" descr="A screenshot of a computer game&#10;&#10;AI-generated content may be incorrect.">
              <a:extLst xmlns:a="http://schemas.openxmlformats.org/drawingml/2006/main">
                <a:ext uri="{FF2B5EF4-FFF2-40B4-BE49-F238E27FC236}">
                  <a16:creationId xmlns:a16="http://schemas.microsoft.com/office/drawing/2014/main" id="{D540F340-CCC3-0CD4-1F0D-3DCA3AC2CC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6" descr="A screenshot of a computer game&#10;&#10;AI-generated content may be incorrect.">
                      <a:extLst>
                        <a:ext uri="{FF2B5EF4-FFF2-40B4-BE49-F238E27FC236}">
                          <a16:creationId xmlns:a16="http://schemas.microsoft.com/office/drawing/2014/main" id="{D540F340-CCC3-0CD4-1F0D-3DCA3AC2CC1E}"/>
                        </a:ext>
                      </a:extLst>
                    </pic:cNvPr>
                    <pic:cNvPicPr>
                      <a:picLocks noChangeAspect="1"/>
                    </pic:cNvPicPr>
                  </pic:nvPicPr>
                  <pic:blipFill>
                    <a:blip r:embed="rId12"/>
                    <a:stretch>
                      <a:fillRect/>
                    </a:stretch>
                  </pic:blipFill>
                  <pic:spPr>
                    <a:xfrm>
                      <a:off x="0" y="0"/>
                      <a:ext cx="4283414" cy="1523792"/>
                    </a:xfrm>
                    <a:prstGeom prst="rect">
                      <a:avLst/>
                    </a:prstGeom>
                  </pic:spPr>
                </pic:pic>
              </a:graphicData>
            </a:graphic>
          </wp:inline>
        </w:drawing>
      </w:r>
    </w:p>
    <w:p w14:paraId="688B50CA" w14:textId="7F827AE3" w:rsidR="00862A8A" w:rsidRDefault="00862A8A" w:rsidP="00862A8A">
      <w:pPr>
        <w:pStyle w:val="Caption"/>
        <w:jc w:val="center"/>
        <w:rPr>
          <w:rFonts w:cs="Arial"/>
          <w:szCs w:val="20"/>
          <w:lang w:eastAsia="ja-JP"/>
        </w:rPr>
      </w:pPr>
      <w:r>
        <w:t xml:space="preserve">Figure </w:t>
      </w:r>
      <w:r w:rsidR="00F477FF">
        <w:t>5</w:t>
      </w:r>
      <w:r>
        <w:t xml:space="preserve"> Issue of </w:t>
      </w:r>
      <w:r w:rsidRPr="00652159">
        <w:t xml:space="preserve">K1 </w:t>
      </w:r>
      <w:r>
        <w:t>timing indication</w:t>
      </w:r>
      <w:r w:rsidRPr="00652159">
        <w:t xml:space="preserve"> in </w:t>
      </w:r>
      <w:r>
        <w:t>mixed numerology</w:t>
      </w:r>
    </w:p>
    <w:p w14:paraId="43A731EB" w14:textId="77777777" w:rsidR="00862A8A" w:rsidRDefault="00862A8A" w:rsidP="00862A8A">
      <w:pPr>
        <w:jc w:val="both"/>
        <w:rPr>
          <w:rFonts w:cs="Arial"/>
          <w:b/>
          <w:bCs/>
          <w:sz w:val="24"/>
          <w:lang w:eastAsia="ja-JP"/>
        </w:rPr>
      </w:pPr>
    </w:p>
    <w:p w14:paraId="15DC6562" w14:textId="77777777" w:rsidR="00862A8A" w:rsidRDefault="00862A8A" w:rsidP="00862A8A">
      <w:pPr>
        <w:jc w:val="both"/>
        <w:rPr>
          <w:rFonts w:cs="Arial"/>
          <w:szCs w:val="20"/>
          <w:lang w:eastAsia="ja-JP"/>
        </w:rPr>
      </w:pPr>
      <w:r w:rsidRPr="008A21F2">
        <w:rPr>
          <w:rFonts w:cs="Arial"/>
          <w:szCs w:val="20"/>
          <w:lang w:eastAsia="ja-JP"/>
        </w:rPr>
        <w:t>The</w:t>
      </w:r>
      <w:r>
        <w:rPr>
          <w:rFonts w:cs="Arial"/>
          <w:szCs w:val="20"/>
          <w:lang w:eastAsia="ja-JP"/>
        </w:rPr>
        <w:t xml:space="preserve"> limitations discussed above, as well as other limitations, </w:t>
      </w:r>
      <w:r w:rsidRPr="008A21F2">
        <w:rPr>
          <w:rFonts w:cs="Arial"/>
          <w:szCs w:val="20"/>
          <w:lang w:eastAsia="ja-JP"/>
        </w:rPr>
        <w:t xml:space="preserve">should be avoided in 6G by taking a fresh look at the uplink control signaling from an overall system perspective. </w:t>
      </w:r>
    </w:p>
    <w:p w14:paraId="432A1C3F" w14:textId="4A6BE65B" w:rsidR="00862A8A" w:rsidRPr="004A0567" w:rsidRDefault="00862A8A" w:rsidP="00862A8A">
      <w:pPr>
        <w:pStyle w:val="ListParagraph"/>
        <w:numPr>
          <w:ilvl w:val="0"/>
          <w:numId w:val="9"/>
        </w:numPr>
        <w:jc w:val="both"/>
        <w:rPr>
          <w:rFonts w:cs="Arial"/>
          <w:lang w:eastAsia="ja-JP"/>
        </w:rPr>
      </w:pPr>
      <w:r>
        <w:t xml:space="preserve">Strive for relaxing the need for interaction between schedulers handling different cells. For example, time-critical DAI </w:t>
      </w:r>
      <w:r w:rsidR="0002697A">
        <w:t xml:space="preserve">and PRI </w:t>
      </w:r>
      <w:r>
        <w:t xml:space="preserve">coordination across cells should be avoided. </w:t>
      </w:r>
    </w:p>
    <w:p w14:paraId="418A66D7" w14:textId="77777777" w:rsidR="00862A8A" w:rsidRPr="004A0567" w:rsidRDefault="00862A8A" w:rsidP="00862A8A">
      <w:pPr>
        <w:pStyle w:val="ListParagraph"/>
        <w:numPr>
          <w:ilvl w:val="0"/>
          <w:numId w:val="9"/>
        </w:numPr>
        <w:jc w:val="both"/>
        <w:rPr>
          <w:rFonts w:cs="Arial"/>
          <w:lang w:eastAsia="ja-JP"/>
        </w:rPr>
      </w:pPr>
      <w:r>
        <w:t xml:space="preserve">UE processing timelines should be considered </w:t>
      </w:r>
      <w:proofErr w:type="gramStart"/>
      <w:r>
        <w:t>early on in the</w:t>
      </w:r>
      <w:proofErr w:type="gramEnd"/>
      <w:r>
        <w:t xml:space="preserve"> design of the uplink control </w:t>
      </w:r>
      <w:proofErr w:type="spellStart"/>
      <w:r>
        <w:t>signaling</w:t>
      </w:r>
      <w:proofErr w:type="spellEnd"/>
      <w:r>
        <w:t xml:space="preserve"> and not be a last-minute restriction on an already designed mechanism, resulting in unforeseen scheduling constraints.</w:t>
      </w:r>
    </w:p>
    <w:p w14:paraId="22BE7253" w14:textId="7EE9D8F4" w:rsidR="00862A8A" w:rsidRPr="00453FBE" w:rsidRDefault="00862A8A" w:rsidP="0034496C">
      <w:pPr>
        <w:pStyle w:val="ListParagraph"/>
        <w:numPr>
          <w:ilvl w:val="0"/>
          <w:numId w:val="9"/>
        </w:numPr>
        <w:jc w:val="both"/>
        <w:rPr>
          <w:rFonts w:cs="Arial"/>
          <w:lang w:eastAsia="ja-JP"/>
        </w:rPr>
      </w:pPr>
      <w:r>
        <w:t>Strive for a more time-asynchronous mechanism to provide significantly better end-user performance and to cater for mixed-numerology CA and different UE capabilities. A more asynchronous scheme is also advantageous in being more cloud friendly as well as for aggregation across non-</w:t>
      </w:r>
      <w:proofErr w:type="spellStart"/>
      <w:r>
        <w:t>colocated</w:t>
      </w:r>
      <w:proofErr w:type="spellEnd"/>
      <w:r>
        <w:t xml:space="preserve"> sites.</w:t>
      </w:r>
    </w:p>
    <w:p w14:paraId="7F349830" w14:textId="77777777" w:rsidR="00862A8A" w:rsidRPr="00AD772F" w:rsidRDefault="00862A8A" w:rsidP="00862A8A">
      <w:pPr>
        <w:pStyle w:val="BodyText"/>
      </w:pPr>
      <w:r w:rsidRPr="00F0386E">
        <w:rPr>
          <w:b/>
          <w:u w:val="single"/>
        </w:rPr>
        <w:t>Proposal</w:t>
      </w:r>
      <w:r>
        <w:rPr>
          <w:b/>
          <w:u w:val="single"/>
        </w:rPr>
        <w:t xml:space="preserve"> 1</w:t>
      </w:r>
    </w:p>
    <w:p w14:paraId="1FBF78ED" w14:textId="77777777" w:rsidR="00862A8A" w:rsidRDefault="00862A8A" w:rsidP="00862A8A">
      <w:pPr>
        <w:pStyle w:val="BodyText"/>
        <w:numPr>
          <w:ilvl w:val="0"/>
          <w:numId w:val="10"/>
        </w:numPr>
      </w:pPr>
      <w:r w:rsidRPr="003415C6">
        <w:rPr>
          <w:i/>
          <w:iCs/>
        </w:rPr>
        <w:t xml:space="preserve">Relax and minimize the need for scheduler interaction across cells in case of </w:t>
      </w:r>
      <w:r>
        <w:rPr>
          <w:i/>
          <w:iCs/>
        </w:rPr>
        <w:t xml:space="preserve">6G </w:t>
      </w:r>
      <w:r w:rsidRPr="003415C6">
        <w:rPr>
          <w:i/>
          <w:iCs/>
        </w:rPr>
        <w:t>carrier aggregation.</w:t>
      </w:r>
    </w:p>
    <w:p w14:paraId="0F8EEFF2" w14:textId="77777777" w:rsidR="00862A8A" w:rsidRPr="003415C6" w:rsidRDefault="00862A8A" w:rsidP="00862A8A">
      <w:pPr>
        <w:pStyle w:val="BodyText"/>
      </w:pPr>
      <w:r w:rsidRPr="00F0386E">
        <w:rPr>
          <w:b/>
          <w:u w:val="single"/>
        </w:rPr>
        <w:t>Proposal</w:t>
      </w:r>
      <w:r>
        <w:rPr>
          <w:b/>
          <w:u w:val="single"/>
        </w:rPr>
        <w:t xml:space="preserve"> 2</w:t>
      </w:r>
    </w:p>
    <w:p w14:paraId="7997D434" w14:textId="77777777" w:rsidR="00862A8A" w:rsidRPr="003415C6" w:rsidRDefault="00862A8A" w:rsidP="00862A8A">
      <w:pPr>
        <w:pStyle w:val="BodyText"/>
        <w:numPr>
          <w:ilvl w:val="0"/>
          <w:numId w:val="10"/>
        </w:numPr>
        <w:rPr>
          <w:i/>
          <w:iCs/>
        </w:rPr>
      </w:pPr>
      <w:r w:rsidRPr="003415C6">
        <w:rPr>
          <w:i/>
          <w:iCs/>
        </w:rPr>
        <w:t xml:space="preserve">Rethink </w:t>
      </w:r>
      <w:r>
        <w:rPr>
          <w:i/>
          <w:iCs/>
        </w:rPr>
        <w:t xml:space="preserve">6G </w:t>
      </w:r>
      <w:r w:rsidRPr="003415C6">
        <w:rPr>
          <w:i/>
          <w:iCs/>
        </w:rPr>
        <w:t xml:space="preserve">uplink control signaling </w:t>
      </w:r>
    </w:p>
    <w:p w14:paraId="50B4BF0F" w14:textId="77777777" w:rsidR="00862A8A" w:rsidRPr="003415C6" w:rsidRDefault="00862A8A" w:rsidP="00862A8A">
      <w:pPr>
        <w:pStyle w:val="BodyText"/>
        <w:numPr>
          <w:ilvl w:val="1"/>
          <w:numId w:val="10"/>
        </w:numPr>
        <w:rPr>
          <w:i/>
          <w:iCs/>
        </w:rPr>
      </w:pPr>
      <w:r w:rsidRPr="003415C6">
        <w:rPr>
          <w:i/>
          <w:iCs/>
        </w:rPr>
        <w:lastRenderedPageBreak/>
        <w:t>strive for a more time-asynchronous mechanism (better end-user performance, simpler handling of inter-numerology CA, more cloud friendly, better handling of non-</w:t>
      </w:r>
      <w:proofErr w:type="spellStart"/>
      <w:r w:rsidRPr="003415C6">
        <w:rPr>
          <w:i/>
          <w:iCs/>
        </w:rPr>
        <w:t>colocated</w:t>
      </w:r>
      <w:proofErr w:type="spellEnd"/>
      <w:r w:rsidRPr="003415C6">
        <w:rPr>
          <w:i/>
          <w:iCs/>
        </w:rPr>
        <w:t xml:space="preserve"> sites, and different UE capabilities).</w:t>
      </w:r>
    </w:p>
    <w:p w14:paraId="41127924" w14:textId="6646AA5B" w:rsidR="00862A8A" w:rsidRPr="00CD36E6" w:rsidRDefault="00862A8A" w:rsidP="00862A8A">
      <w:pPr>
        <w:pStyle w:val="BodyText"/>
        <w:numPr>
          <w:ilvl w:val="1"/>
          <w:numId w:val="10"/>
        </w:numPr>
        <w:rPr>
          <w:i/>
          <w:iCs/>
        </w:rPr>
      </w:pPr>
      <w:r w:rsidRPr="003415C6">
        <w:rPr>
          <w:i/>
          <w:iCs/>
        </w:rPr>
        <w:t>Uplink control feedback should be designed with realistic UE processing timelines in mind.</w:t>
      </w:r>
    </w:p>
    <w:p w14:paraId="519B2BC4" w14:textId="77777777" w:rsidR="00E003B7" w:rsidRDefault="00E003B7" w:rsidP="0034496C">
      <w:pPr>
        <w:pStyle w:val="Heading2"/>
      </w:pPr>
      <w:r>
        <w:t>Handling of Scheduling Requests (SRs)</w:t>
      </w:r>
    </w:p>
    <w:p w14:paraId="48EAD160" w14:textId="6FFC1ECE" w:rsidR="00E003B7" w:rsidRDefault="00E003B7" w:rsidP="00E003B7">
      <w:pPr>
        <w:jc w:val="both"/>
      </w:pPr>
      <w:r>
        <w:t xml:space="preserve">To assist the uplink data scheduling, there is a need for the UE to provide the base station with buffer status and other information. In 5G, a single bit scheduling request (SR) can be sent on PUCCH. Upon reception of the SR the gNB responds with a (small) uplink grant which the UE uses to transmit a buffer status report (BSR). Once the BSR has been received, the gNB can take a well-educated scheduling decision and provide the device with additional grant(s) suitable for the data awaiting transmission. This procedure is illustrated in </w:t>
      </w:r>
      <w:r>
        <w:rPr>
          <w:rFonts w:cs="Arial"/>
          <w:szCs w:val="20"/>
          <w:lang w:eastAsia="ja-JP"/>
        </w:rPr>
        <w:t xml:space="preserve">Figure </w:t>
      </w:r>
      <w:r w:rsidR="00F477FF">
        <w:rPr>
          <w:rFonts w:cs="Arial"/>
          <w:szCs w:val="20"/>
          <w:lang w:eastAsia="ja-JP"/>
        </w:rPr>
        <w:t>6</w:t>
      </w:r>
      <w:r>
        <w:rPr>
          <w:rFonts w:cs="Arial"/>
          <w:szCs w:val="20"/>
          <w:lang w:eastAsia="ja-JP"/>
        </w:rPr>
        <w:t xml:space="preserve"> </w:t>
      </w:r>
      <w:r>
        <w:t>and takes a non-negligible amount of time as the SR occasions on the PUCCH cannot occur too often as this would result in too large overhead.</w:t>
      </w:r>
    </w:p>
    <w:p w14:paraId="736F1B2D" w14:textId="77777777" w:rsidR="00E003B7" w:rsidRPr="004A0567" w:rsidRDefault="00E003B7" w:rsidP="00E003B7">
      <w:pPr>
        <w:rPr>
          <w:lang w:eastAsia="en-GB"/>
        </w:rPr>
      </w:pPr>
    </w:p>
    <w:p w14:paraId="08727C3F" w14:textId="77777777" w:rsidR="00E003B7" w:rsidRDefault="00E003B7" w:rsidP="00E003B7">
      <w:pPr>
        <w:pStyle w:val="Caption"/>
        <w:keepNext/>
        <w:jc w:val="center"/>
      </w:pPr>
      <w:r w:rsidRPr="00C44234">
        <w:rPr>
          <w:noProof/>
        </w:rPr>
        <w:drawing>
          <wp:inline distT="0" distB="0" distL="0" distR="0" wp14:anchorId="688D0755" wp14:editId="055F43E4">
            <wp:extent cx="4939553" cy="965962"/>
            <wp:effectExtent l="0" t="0" r="0" b="0"/>
            <wp:docPr id="4680262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9978" cy="971912"/>
                    </a:xfrm>
                    <a:prstGeom prst="rect">
                      <a:avLst/>
                    </a:prstGeom>
                    <a:noFill/>
                    <a:ln>
                      <a:noFill/>
                    </a:ln>
                  </pic:spPr>
                </pic:pic>
              </a:graphicData>
            </a:graphic>
          </wp:inline>
        </w:drawing>
      </w:r>
    </w:p>
    <w:p w14:paraId="2B1529C5" w14:textId="18447C7D" w:rsidR="00E003B7" w:rsidRDefault="00E003B7" w:rsidP="00E003B7">
      <w:pPr>
        <w:pStyle w:val="Caption"/>
        <w:jc w:val="center"/>
      </w:pPr>
      <w:r>
        <w:t xml:space="preserve">Figure </w:t>
      </w:r>
      <w:r w:rsidR="00F477FF">
        <w:t>6</w:t>
      </w:r>
      <w:r>
        <w:t>: Illustration of the SR-grant-BSR-grant cycle in 5G.</w:t>
      </w:r>
    </w:p>
    <w:p w14:paraId="65F03CD6" w14:textId="77777777" w:rsidR="00E003B7" w:rsidRDefault="00E003B7" w:rsidP="00E003B7">
      <w:pPr>
        <w:jc w:val="both"/>
      </w:pPr>
      <w:proofErr w:type="gramStart"/>
      <w:r>
        <w:t>Means</w:t>
      </w:r>
      <w:proofErr w:type="gramEnd"/>
      <w:r>
        <w:t xml:space="preserve"> to reduce the delay from data appearing in the UE buffer to the actual transmission of data with low overhead is therefore of interest to study in 6G. Using contention-based resources to send muti-bit SRs or BSRs could be a fast and low overhead approach to speed up the SR-&gt;grant1-&gt;BSR-&gt;grant2-&gt;UL data timeline to a faster SR/BSR-&gt;grant-&gt;UL data approach.</w:t>
      </w:r>
    </w:p>
    <w:p w14:paraId="4C5AC884" w14:textId="77777777" w:rsidR="00E003B7" w:rsidRDefault="00E003B7" w:rsidP="00E003B7">
      <w:pPr>
        <w:jc w:val="both"/>
      </w:pPr>
    </w:p>
    <w:p w14:paraId="51CB4393" w14:textId="77777777" w:rsidR="00E003B7" w:rsidRPr="00AD772F" w:rsidRDefault="00E003B7" w:rsidP="00E003B7">
      <w:pPr>
        <w:pStyle w:val="BodyText"/>
      </w:pPr>
      <w:r w:rsidRPr="00F0386E">
        <w:rPr>
          <w:b/>
          <w:u w:val="single"/>
        </w:rPr>
        <w:t>Proposal</w:t>
      </w:r>
      <w:r>
        <w:rPr>
          <w:b/>
          <w:u w:val="single"/>
        </w:rPr>
        <w:t xml:space="preserve"> 3</w:t>
      </w:r>
    </w:p>
    <w:p w14:paraId="03C66460" w14:textId="77777777" w:rsidR="00510E7D" w:rsidRPr="0034496C" w:rsidRDefault="00510E7D" w:rsidP="00510E7D">
      <w:pPr>
        <w:pStyle w:val="BodyText"/>
        <w:numPr>
          <w:ilvl w:val="0"/>
          <w:numId w:val="10"/>
        </w:numPr>
      </w:pPr>
      <w:r w:rsidRPr="0034496C">
        <w:rPr>
          <w:i/>
          <w:iCs/>
        </w:rPr>
        <w:t xml:space="preserve">Study </w:t>
      </w:r>
      <w:r>
        <w:rPr>
          <w:i/>
          <w:iCs/>
        </w:rPr>
        <w:t xml:space="preserve">support for </w:t>
      </w:r>
      <w:r w:rsidRPr="0034496C">
        <w:rPr>
          <w:i/>
          <w:iCs/>
        </w:rPr>
        <w:t xml:space="preserve">contention-based buffer-status reports (CB-BSRs) or multi-bit scheduling requests </w:t>
      </w:r>
      <w:r>
        <w:rPr>
          <w:i/>
          <w:iCs/>
        </w:rPr>
        <w:t>(</w:t>
      </w:r>
      <w:r w:rsidRPr="0034496C">
        <w:rPr>
          <w:i/>
          <w:iCs/>
        </w:rPr>
        <w:t>SRs</w:t>
      </w:r>
      <w:r>
        <w:rPr>
          <w:i/>
          <w:iCs/>
        </w:rPr>
        <w:t>)</w:t>
      </w:r>
      <w:r w:rsidRPr="0034496C">
        <w:rPr>
          <w:i/>
          <w:iCs/>
        </w:rPr>
        <w:t xml:space="preserve"> as an alternative to dedicated SR</w:t>
      </w:r>
      <w:r>
        <w:rPr>
          <w:i/>
          <w:iCs/>
        </w:rPr>
        <w:t>s</w:t>
      </w:r>
      <w:r w:rsidRPr="0034496C">
        <w:rPr>
          <w:i/>
          <w:iCs/>
        </w:rPr>
        <w:t xml:space="preserve">. </w:t>
      </w:r>
    </w:p>
    <w:p w14:paraId="209F9469" w14:textId="32FA4D98" w:rsidR="002869D0" w:rsidRDefault="00C959F9" w:rsidP="00F35BDE">
      <w:pPr>
        <w:pStyle w:val="Heading2"/>
      </w:pPr>
      <w:r>
        <w:t>UCI transmission mechanisms</w:t>
      </w:r>
      <w:r w:rsidR="008F0598">
        <w:t xml:space="preserve"> </w:t>
      </w:r>
    </w:p>
    <w:p w14:paraId="4039E3D0" w14:textId="77777777" w:rsidR="00862A8A" w:rsidRDefault="00862A8A" w:rsidP="00862A8A">
      <w:pPr>
        <w:jc w:val="both"/>
      </w:pPr>
      <w:r w:rsidRPr="003415C6">
        <w:t xml:space="preserve">One possible </w:t>
      </w:r>
      <w:r>
        <w:t xml:space="preserve">direction </w:t>
      </w:r>
      <w:r w:rsidRPr="003415C6">
        <w:t xml:space="preserve">is to treat </w:t>
      </w:r>
      <w:r>
        <w:t xml:space="preserve">6G </w:t>
      </w:r>
      <w:r w:rsidRPr="003415C6">
        <w:t xml:space="preserve">UCI (HARQ-ACK, CSI, SR) as L2 data and transmit it as MAC </w:t>
      </w:r>
      <w:r>
        <w:t>sub-PDUs</w:t>
      </w:r>
      <w:r w:rsidRPr="003415C6">
        <w:t>.</w:t>
      </w:r>
      <w:r>
        <w:t xml:space="preserve">  With such an approach, 6G’s UCI reports could contain explicit references to HARQ processes and CSI report configurations so that the gNB can interpret them irrespective of the time at which the UE sent them. This avoids the need to have 5G-like complex timelines, multiplexing rules and time critical DAI and PUCCH resource coordination between carriers. It would also simplify UE procedures to generate and multiplex HARQ and CSI reports.</w:t>
      </w:r>
    </w:p>
    <w:p w14:paraId="07E56973" w14:textId="77777777" w:rsidR="00862A8A" w:rsidRDefault="00862A8A" w:rsidP="00862A8A">
      <w:pPr>
        <w:jc w:val="both"/>
      </w:pPr>
      <w:r>
        <w:t xml:space="preserve"> </w:t>
      </w:r>
    </w:p>
    <w:p w14:paraId="070B0DD0" w14:textId="7307ECFE" w:rsidR="00862A8A" w:rsidRDefault="00862A8A" w:rsidP="00862A8A">
      <w:pPr>
        <w:pStyle w:val="BodyText"/>
      </w:pPr>
      <w:r>
        <w:t xml:space="preserve">The simplifications for HARQ and CSI feedback would be most noticeable in CA scenarios and especially when running several carriers in different bands with different numerologies. Sending UL HARQ- and CSI feedback for higher-frequency DLs via lower frequency UL would become a lot easier than in 5G. UEs that support UL aggregation or switching could send HARQ and CSI reports via any scheduled UL without complex UCI multiplexing and codebook rules. The benefits would apply to FR1, FR2, new 6G bands as well as their combinations. </w:t>
      </w:r>
    </w:p>
    <w:p w14:paraId="723B3F3D" w14:textId="77777777" w:rsidR="00A435B9" w:rsidRDefault="00862A8A" w:rsidP="00A435B9">
      <w:pPr>
        <w:pStyle w:val="BodyText"/>
      </w:pPr>
      <w:r>
        <w:t xml:space="preserve">As a potential drawback, self-contained HARQ-FB and CSI-formats could be larger than NR’s optimized UCI formats due to explicitly signaled IDs, MAC Sub-Headers and CRCs. </w:t>
      </w:r>
      <w:r w:rsidR="00DE532F">
        <w:t xml:space="preserve">A PUSCH conveying the HARQ FB over L2 will have worse coverage than a PUCCH conveying the same information, at least for the cases where only a small number of HARQ-FB bits are transmitted. However, the system coverage is not limited by the transmission HARQ-FB over L2. For example, RLC status reports need better coverage than HARQ-FB over L2, so the system coverage is not impacted by HARQ-FB over L2. </w:t>
      </w:r>
    </w:p>
    <w:p w14:paraId="4E1D9E68" w14:textId="23759E01" w:rsidR="00862A8A" w:rsidRDefault="00DE532F" w:rsidP="00A435B9">
      <w:pPr>
        <w:pStyle w:val="BodyText"/>
      </w:pPr>
      <w:r>
        <w:t xml:space="preserve">A larger payload also leads to higher uplink load. </w:t>
      </w:r>
      <w:r w:rsidR="00862A8A">
        <w:t xml:space="preserve">End-to-end system simulations considering these aspects are shown in [2] and simulation results show that this approach </w:t>
      </w:r>
      <w:r w:rsidR="00862A8A" w:rsidRPr="00A435B9">
        <w:t>has the potential not only to simplify the specifications and implementation but also can lead to an improved end-user performance</w:t>
      </w:r>
      <w:r w:rsidR="00862A8A" w:rsidRPr="003415C6">
        <w:t>.</w:t>
      </w:r>
    </w:p>
    <w:p w14:paraId="287342D4" w14:textId="0BEDE7A0" w:rsidR="00DE532F" w:rsidRDefault="00DE532F" w:rsidP="00A435B9">
      <w:pPr>
        <w:pStyle w:val="BodyText"/>
      </w:pPr>
      <w:r>
        <w:lastRenderedPageBreak/>
        <w:t xml:space="preserve">A final point to note </w:t>
      </w:r>
      <w:r w:rsidR="003963BF">
        <w:t>is that HARQ-FB conveyed over L2 is that there is no risk</w:t>
      </w:r>
      <w:r w:rsidR="00A435B9">
        <w:t xml:space="preserve"> for false detection of an ACK: the feedback is reliable. This means that we can operate RLC in unacknowledged mode, which would avoid the </w:t>
      </w:r>
      <w:proofErr w:type="gramStart"/>
      <w:r w:rsidR="00A435B9">
        <w:t>delay</w:t>
      </w:r>
      <w:proofErr w:type="gramEnd"/>
      <w:r w:rsidR="00A435B9">
        <w:t xml:space="preserve"> spikes caused by false detection of HARQ ACKs.</w:t>
      </w:r>
    </w:p>
    <w:p w14:paraId="6152DE4F" w14:textId="77777777" w:rsidR="00862A8A" w:rsidRDefault="00862A8A" w:rsidP="00862A8A"/>
    <w:p w14:paraId="4327776F" w14:textId="0B479FF3" w:rsidR="00862A8A" w:rsidRPr="001A59D0" w:rsidRDefault="00862A8A" w:rsidP="00862A8A">
      <w:pPr>
        <w:pStyle w:val="BodyText"/>
      </w:pPr>
      <w:r w:rsidRPr="001A59D0">
        <w:rPr>
          <w:b/>
          <w:u w:val="single"/>
        </w:rPr>
        <w:t xml:space="preserve">Proposal </w:t>
      </w:r>
      <w:r w:rsidR="0010092C" w:rsidRPr="001A59D0">
        <w:rPr>
          <w:b/>
          <w:u w:val="single"/>
        </w:rPr>
        <w:t>4</w:t>
      </w:r>
    </w:p>
    <w:p w14:paraId="7850F739" w14:textId="064CAC1A" w:rsidR="00862A8A" w:rsidRPr="001A59D0" w:rsidRDefault="00862A8A" w:rsidP="0010092C">
      <w:pPr>
        <w:pStyle w:val="BodyText"/>
        <w:numPr>
          <w:ilvl w:val="0"/>
          <w:numId w:val="10"/>
        </w:numPr>
      </w:pPr>
      <w:r w:rsidRPr="001A59D0">
        <w:rPr>
          <w:i/>
          <w:iCs/>
        </w:rPr>
        <w:t xml:space="preserve">Study solutions for efficient HARQ and CSI transmission using PUSCH for 6G (e.g., sending HARQ/ CSI using L2 MAC </w:t>
      </w:r>
      <w:r w:rsidRPr="001A59D0">
        <w:t>Sub-PDUs</w:t>
      </w:r>
      <w:r w:rsidRPr="001A59D0">
        <w:rPr>
          <w:i/>
          <w:iCs/>
        </w:rPr>
        <w:t>) with the aim to avoid/minimize scheduling restrictions, complex timelines and multiplexing rules</w:t>
      </w:r>
    </w:p>
    <w:p w14:paraId="3C7807E3" w14:textId="6E3C9FCD" w:rsidR="00862A8A" w:rsidRPr="004242BA" w:rsidRDefault="00862A8A" w:rsidP="0034496C">
      <w:pPr>
        <w:pStyle w:val="BodyText"/>
        <w:numPr>
          <w:ilvl w:val="0"/>
          <w:numId w:val="10"/>
        </w:numPr>
        <w:rPr>
          <w:rFonts w:ascii="Helvetica" w:hAnsi="Helvetica" w:cs="Arial"/>
          <w:b/>
          <w:bCs/>
          <w:kern w:val="32"/>
          <w:sz w:val="16"/>
          <w:szCs w:val="20"/>
        </w:rPr>
      </w:pPr>
      <w:r w:rsidRPr="001A59D0">
        <w:rPr>
          <w:i/>
          <w:iCs/>
        </w:rPr>
        <w:t>Study whether or not to introduce a dedicated control channel such as PUCCH for UCI transmission in 6G</w:t>
      </w:r>
    </w:p>
    <w:p w14:paraId="72280D5C" w14:textId="77777777" w:rsidR="00FE5799" w:rsidRDefault="00FE5799" w:rsidP="00FE5799">
      <w:pPr>
        <w:pStyle w:val="Heading1"/>
      </w:pPr>
      <w:r>
        <w:t>Conclusion</w:t>
      </w:r>
    </w:p>
    <w:p w14:paraId="336D0CBE" w14:textId="77777777" w:rsidR="00862A8A" w:rsidRDefault="00862A8A" w:rsidP="00862A8A">
      <w:pPr>
        <w:pStyle w:val="BodyText"/>
      </w:pPr>
      <w:r w:rsidRPr="00E514C4">
        <w:t>In this document we discuss scheduling and HARQ operation for 6GR</w:t>
      </w:r>
      <w:r>
        <w:t xml:space="preserve"> and propose the following</w:t>
      </w:r>
    </w:p>
    <w:p w14:paraId="583F0A73" w14:textId="77777777" w:rsidR="00333F1F" w:rsidRPr="0034496C" w:rsidRDefault="00333F1F" w:rsidP="00333F1F">
      <w:pPr>
        <w:pStyle w:val="BodyText"/>
      </w:pPr>
      <w:r w:rsidRPr="0034496C">
        <w:rPr>
          <w:b/>
          <w:u w:val="single"/>
        </w:rPr>
        <w:t>Proposal 1</w:t>
      </w:r>
    </w:p>
    <w:p w14:paraId="0580C2C9" w14:textId="77777777" w:rsidR="00333F1F" w:rsidRPr="0034496C" w:rsidRDefault="00333F1F" w:rsidP="00333F1F">
      <w:pPr>
        <w:pStyle w:val="BodyText"/>
        <w:numPr>
          <w:ilvl w:val="0"/>
          <w:numId w:val="10"/>
        </w:numPr>
      </w:pPr>
      <w:r w:rsidRPr="0034496C">
        <w:rPr>
          <w:i/>
          <w:iCs/>
        </w:rPr>
        <w:t>Relax and minimize the need for scheduler interaction across cells in case of 6G carrier aggregation.</w:t>
      </w:r>
    </w:p>
    <w:p w14:paraId="37BD46CD" w14:textId="77777777" w:rsidR="00333F1F" w:rsidRPr="0034496C" w:rsidRDefault="00333F1F" w:rsidP="00333F1F">
      <w:pPr>
        <w:pStyle w:val="BodyText"/>
      </w:pPr>
      <w:r w:rsidRPr="0034496C">
        <w:rPr>
          <w:b/>
          <w:u w:val="single"/>
        </w:rPr>
        <w:t>Proposal 2</w:t>
      </w:r>
    </w:p>
    <w:p w14:paraId="7351FFA2" w14:textId="77777777" w:rsidR="00333F1F" w:rsidRPr="0034496C" w:rsidRDefault="00333F1F" w:rsidP="00333F1F">
      <w:pPr>
        <w:pStyle w:val="BodyText"/>
        <w:numPr>
          <w:ilvl w:val="0"/>
          <w:numId w:val="10"/>
        </w:numPr>
        <w:rPr>
          <w:i/>
          <w:iCs/>
        </w:rPr>
      </w:pPr>
      <w:r w:rsidRPr="0034496C">
        <w:rPr>
          <w:i/>
          <w:iCs/>
        </w:rPr>
        <w:t xml:space="preserve">Rethink 6G uplink control signaling </w:t>
      </w:r>
    </w:p>
    <w:p w14:paraId="2BC8EFE6" w14:textId="77777777" w:rsidR="00333F1F" w:rsidRPr="0034496C" w:rsidRDefault="00333F1F" w:rsidP="00333F1F">
      <w:pPr>
        <w:pStyle w:val="BodyText"/>
        <w:numPr>
          <w:ilvl w:val="1"/>
          <w:numId w:val="10"/>
        </w:numPr>
        <w:rPr>
          <w:i/>
          <w:iCs/>
        </w:rPr>
      </w:pPr>
      <w:r w:rsidRPr="0034496C">
        <w:rPr>
          <w:i/>
          <w:iCs/>
        </w:rPr>
        <w:t>strive for a more time-asynchronous mechanism (better end-user performance, simpler handling of inter-numerology CA, more cloud friendly, better handling of non-</w:t>
      </w:r>
      <w:proofErr w:type="spellStart"/>
      <w:r w:rsidRPr="0034496C">
        <w:rPr>
          <w:i/>
          <w:iCs/>
        </w:rPr>
        <w:t>colocated</w:t>
      </w:r>
      <w:proofErr w:type="spellEnd"/>
      <w:r w:rsidRPr="0034496C">
        <w:rPr>
          <w:i/>
          <w:iCs/>
        </w:rPr>
        <w:t xml:space="preserve"> sites, and different UE capabilities).</w:t>
      </w:r>
    </w:p>
    <w:p w14:paraId="56A822BF" w14:textId="77777777" w:rsidR="00333F1F" w:rsidRPr="0034496C" w:rsidRDefault="00333F1F" w:rsidP="00333F1F">
      <w:pPr>
        <w:pStyle w:val="BodyText"/>
        <w:numPr>
          <w:ilvl w:val="1"/>
          <w:numId w:val="10"/>
        </w:numPr>
        <w:rPr>
          <w:i/>
          <w:iCs/>
        </w:rPr>
      </w:pPr>
      <w:r w:rsidRPr="0034496C">
        <w:rPr>
          <w:i/>
          <w:iCs/>
        </w:rPr>
        <w:t>Uplink control feedback should be designed with realistic UE processing timelines in mind.</w:t>
      </w:r>
    </w:p>
    <w:p w14:paraId="0B49CB36" w14:textId="77777777" w:rsidR="00333F1F" w:rsidRPr="0034496C" w:rsidRDefault="00333F1F" w:rsidP="00333F1F">
      <w:pPr>
        <w:pStyle w:val="BodyText"/>
      </w:pPr>
      <w:r w:rsidRPr="0034496C">
        <w:rPr>
          <w:b/>
          <w:u w:val="single"/>
        </w:rPr>
        <w:t>Proposal 3</w:t>
      </w:r>
    </w:p>
    <w:p w14:paraId="29059795" w14:textId="77777777" w:rsidR="00333F1F" w:rsidRPr="0034496C" w:rsidRDefault="00333F1F" w:rsidP="00333F1F">
      <w:pPr>
        <w:pStyle w:val="BodyText"/>
        <w:numPr>
          <w:ilvl w:val="0"/>
          <w:numId w:val="10"/>
        </w:numPr>
      </w:pPr>
      <w:r w:rsidRPr="0034496C">
        <w:rPr>
          <w:i/>
          <w:iCs/>
        </w:rPr>
        <w:t xml:space="preserve">Study </w:t>
      </w:r>
      <w:r>
        <w:rPr>
          <w:i/>
          <w:iCs/>
        </w:rPr>
        <w:t xml:space="preserve">support for </w:t>
      </w:r>
      <w:r w:rsidRPr="0034496C">
        <w:rPr>
          <w:i/>
          <w:iCs/>
        </w:rPr>
        <w:t xml:space="preserve">contention-based buffer-status reports (CB-BSRs) or multi-bit scheduling requests </w:t>
      </w:r>
      <w:r>
        <w:rPr>
          <w:i/>
          <w:iCs/>
        </w:rPr>
        <w:t>(</w:t>
      </w:r>
      <w:r w:rsidRPr="0034496C">
        <w:rPr>
          <w:i/>
          <w:iCs/>
        </w:rPr>
        <w:t>SRs</w:t>
      </w:r>
      <w:r>
        <w:rPr>
          <w:i/>
          <w:iCs/>
        </w:rPr>
        <w:t>)</w:t>
      </w:r>
      <w:r w:rsidRPr="0034496C">
        <w:rPr>
          <w:i/>
          <w:iCs/>
        </w:rPr>
        <w:t xml:space="preserve"> as an alternative to dedicated SR</w:t>
      </w:r>
      <w:r>
        <w:rPr>
          <w:i/>
          <w:iCs/>
        </w:rPr>
        <w:t>s</w:t>
      </w:r>
      <w:r w:rsidRPr="0034496C">
        <w:rPr>
          <w:i/>
          <w:iCs/>
        </w:rPr>
        <w:t xml:space="preserve">. </w:t>
      </w:r>
    </w:p>
    <w:p w14:paraId="5694F51C" w14:textId="77777777" w:rsidR="00333F1F" w:rsidRPr="0034496C" w:rsidRDefault="00333F1F" w:rsidP="00333F1F">
      <w:pPr>
        <w:pStyle w:val="BodyText"/>
      </w:pPr>
      <w:r w:rsidRPr="0034496C">
        <w:rPr>
          <w:b/>
          <w:u w:val="single"/>
        </w:rPr>
        <w:t>Proposal 4</w:t>
      </w:r>
    </w:p>
    <w:p w14:paraId="2B8C260A" w14:textId="77777777" w:rsidR="00333F1F" w:rsidRPr="0034496C" w:rsidRDefault="00333F1F" w:rsidP="00333F1F">
      <w:pPr>
        <w:pStyle w:val="BodyText"/>
        <w:numPr>
          <w:ilvl w:val="0"/>
          <w:numId w:val="10"/>
        </w:numPr>
      </w:pPr>
      <w:r w:rsidRPr="0034496C">
        <w:rPr>
          <w:i/>
          <w:iCs/>
        </w:rPr>
        <w:t xml:space="preserve">Study solutions for efficient HARQ and CSI transmission using PUSCH for 6G (e.g., sending HARQ/ CSI using L2 MAC </w:t>
      </w:r>
      <w:r w:rsidRPr="0034496C">
        <w:t>Sub-PDUs</w:t>
      </w:r>
      <w:r w:rsidRPr="0034496C">
        <w:rPr>
          <w:i/>
          <w:iCs/>
        </w:rPr>
        <w:t>) with the aim to avoid/minimize scheduling restrictions, complex timelines and multiplexing rules</w:t>
      </w:r>
    </w:p>
    <w:p w14:paraId="3A9C1291" w14:textId="77777777" w:rsidR="00333F1F" w:rsidRPr="00CC6F92" w:rsidRDefault="00333F1F" w:rsidP="00333F1F">
      <w:pPr>
        <w:pStyle w:val="BodyText"/>
        <w:numPr>
          <w:ilvl w:val="0"/>
          <w:numId w:val="10"/>
        </w:numPr>
      </w:pPr>
      <w:r w:rsidRPr="0034496C">
        <w:rPr>
          <w:i/>
          <w:iCs/>
        </w:rPr>
        <w:t>Study whether or not to introduce a dedicated control channel such as PUCCH for UCI transmission in 6G</w:t>
      </w:r>
    </w:p>
    <w:p w14:paraId="4AAB11B4" w14:textId="77777777" w:rsidR="0010092C" w:rsidRPr="00E514C4" w:rsidRDefault="0010092C" w:rsidP="0010092C">
      <w:pPr>
        <w:pStyle w:val="BodyText"/>
      </w:pPr>
    </w:p>
    <w:p w14:paraId="512903AC" w14:textId="77777777" w:rsidR="007763D0" w:rsidRPr="00510266" w:rsidRDefault="007763D0" w:rsidP="007763D0">
      <w:pPr>
        <w:pStyle w:val="Heading1"/>
      </w:pPr>
      <w:r w:rsidRPr="00510266">
        <w:t>References</w:t>
      </w:r>
    </w:p>
    <w:p w14:paraId="2D7EAFC2" w14:textId="23E52A34" w:rsidR="007763D0" w:rsidRPr="00BB3BD9" w:rsidRDefault="00E96D51" w:rsidP="007763D0">
      <w:pPr>
        <w:numPr>
          <w:ilvl w:val="0"/>
          <w:numId w:val="2"/>
        </w:numPr>
        <w:jc w:val="both"/>
        <w:rPr>
          <w:szCs w:val="20"/>
          <w:lang w:val="it-IT"/>
        </w:rPr>
      </w:pPr>
      <w:r w:rsidRPr="00BB3BD9">
        <w:t>R</w:t>
      </w:r>
      <w:r w:rsidR="00EB5704" w:rsidRPr="00BB3BD9">
        <w:t>P</w:t>
      </w:r>
      <w:r w:rsidRPr="00BB3BD9">
        <w:t>-</w:t>
      </w:r>
      <w:r w:rsidR="00EB5704" w:rsidRPr="00BB3BD9">
        <w:t>251881</w:t>
      </w:r>
      <w:r w:rsidR="006155E6" w:rsidRPr="00BB3BD9">
        <w:t>, “</w:t>
      </w:r>
      <w:r w:rsidR="00EB5704" w:rsidRPr="00BB3BD9">
        <w:t>New SID: Study on 6G Radio</w:t>
      </w:r>
      <w:r w:rsidR="006155E6" w:rsidRPr="00BB3BD9">
        <w:t xml:space="preserve">”, </w:t>
      </w:r>
      <w:r w:rsidR="00E55B79" w:rsidRPr="00BB3BD9">
        <w:t>3GPP RAN #108, Prague, June 2025.</w:t>
      </w:r>
    </w:p>
    <w:p w14:paraId="07B91139" w14:textId="0E18790C" w:rsidR="00862A8A" w:rsidRPr="004242BA" w:rsidRDefault="00BB3BD9" w:rsidP="00862A8A">
      <w:pPr>
        <w:numPr>
          <w:ilvl w:val="0"/>
          <w:numId w:val="2"/>
        </w:numPr>
        <w:jc w:val="both"/>
        <w:rPr>
          <w:szCs w:val="20"/>
          <w:lang w:val="it-IT"/>
        </w:rPr>
      </w:pPr>
      <w:r w:rsidRPr="00BB3BD9">
        <w:rPr>
          <w:szCs w:val="20"/>
          <w:lang w:val="it-IT"/>
        </w:rPr>
        <w:t>R2-2600850</w:t>
      </w:r>
      <w:r w:rsidR="00862A8A" w:rsidRPr="004242BA">
        <w:rPr>
          <w:szCs w:val="20"/>
          <w:lang w:val="it-IT"/>
        </w:rPr>
        <w:t xml:space="preserve">,“UL HARQ- and CSI feedback in 6G”, </w:t>
      </w:r>
      <w:r w:rsidRPr="00BB3BD9">
        <w:rPr>
          <w:szCs w:val="20"/>
          <w:lang w:val="it-IT"/>
        </w:rPr>
        <w:t>Ericsson, MediaTek Inc., Verizon, Charter Communications Inc., Turkcell</w:t>
      </w:r>
      <w:r w:rsidRPr="004242BA" w:rsidDel="00BB3BD9">
        <w:rPr>
          <w:szCs w:val="20"/>
          <w:lang w:val="it-IT"/>
        </w:rPr>
        <w:t xml:space="preserve"> </w:t>
      </w:r>
      <w:r w:rsidR="00862A8A" w:rsidRPr="004242BA">
        <w:rPr>
          <w:szCs w:val="20"/>
          <w:lang w:val="it-IT"/>
        </w:rPr>
        <w:t>, RAN2#133, Gothenburg, February 2026.</w:t>
      </w:r>
    </w:p>
    <w:p w14:paraId="10D96BA5" w14:textId="77777777" w:rsidR="00001D1C" w:rsidRPr="00E55B79" w:rsidRDefault="00001D1C" w:rsidP="000079EC">
      <w:pPr>
        <w:rPr>
          <w:szCs w:val="20"/>
          <w:highlight w:val="yellow"/>
          <w:lang w:val="it-IT"/>
        </w:rPr>
      </w:pPr>
    </w:p>
    <w:sectPr w:rsidR="00001D1C" w:rsidRPr="00E55B79">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398A0" w14:textId="77777777" w:rsidR="00442708" w:rsidRDefault="00442708">
      <w:r>
        <w:separator/>
      </w:r>
    </w:p>
  </w:endnote>
  <w:endnote w:type="continuationSeparator" w:id="0">
    <w:p w14:paraId="02ED7413" w14:textId="77777777" w:rsidR="00442708" w:rsidRDefault="00442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0E761" w14:textId="77777777" w:rsidR="00442708" w:rsidRDefault="00442708">
      <w:r>
        <w:separator/>
      </w:r>
    </w:p>
  </w:footnote>
  <w:footnote w:type="continuationSeparator" w:id="0">
    <w:p w14:paraId="5E4059CD" w14:textId="77777777" w:rsidR="00442708" w:rsidRDefault="00442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60B17" w14:textId="77777777" w:rsidR="00146C6A" w:rsidRDefault="00146C6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E1A"/>
    <w:multiLevelType w:val="hybridMultilevel"/>
    <w:tmpl w:val="3AA66F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A5A45D9"/>
    <w:multiLevelType w:val="hybridMultilevel"/>
    <w:tmpl w:val="ADEE0A7C"/>
    <w:lvl w:ilvl="0" w:tplc="B0DA394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D6629"/>
    <w:multiLevelType w:val="hybridMultilevel"/>
    <w:tmpl w:val="FCD2AA04"/>
    <w:lvl w:ilvl="0" w:tplc="08AE774C">
      <w:start w:val="1"/>
      <w:numFmt w:val="bullet"/>
      <w:lvlText w:val="–"/>
      <w:lvlJc w:val="left"/>
      <w:pPr>
        <w:tabs>
          <w:tab w:val="num" w:pos="720"/>
        </w:tabs>
        <w:ind w:left="720" w:hanging="360"/>
      </w:pPr>
      <w:rPr>
        <w:rFonts w:ascii="Ericsson Capital TT" w:hAnsi="Ericsson Capital TT" w:hint="default"/>
      </w:rPr>
    </w:lvl>
    <w:lvl w:ilvl="1" w:tplc="FFD0688E">
      <w:start w:val="1"/>
      <w:numFmt w:val="bullet"/>
      <w:lvlText w:val="–"/>
      <w:lvlJc w:val="left"/>
      <w:pPr>
        <w:tabs>
          <w:tab w:val="num" w:pos="1440"/>
        </w:tabs>
        <w:ind w:left="1440" w:hanging="360"/>
      </w:pPr>
      <w:rPr>
        <w:rFonts w:ascii="Ericsson Capital TT" w:hAnsi="Ericsson Capital TT" w:hint="default"/>
      </w:rPr>
    </w:lvl>
    <w:lvl w:ilvl="2" w:tplc="A9627E06" w:tentative="1">
      <w:start w:val="1"/>
      <w:numFmt w:val="bullet"/>
      <w:lvlText w:val="–"/>
      <w:lvlJc w:val="left"/>
      <w:pPr>
        <w:tabs>
          <w:tab w:val="num" w:pos="2160"/>
        </w:tabs>
        <w:ind w:left="2160" w:hanging="360"/>
      </w:pPr>
      <w:rPr>
        <w:rFonts w:ascii="Ericsson Capital TT" w:hAnsi="Ericsson Capital TT" w:hint="default"/>
      </w:rPr>
    </w:lvl>
    <w:lvl w:ilvl="3" w:tplc="3176D024" w:tentative="1">
      <w:start w:val="1"/>
      <w:numFmt w:val="bullet"/>
      <w:lvlText w:val="–"/>
      <w:lvlJc w:val="left"/>
      <w:pPr>
        <w:tabs>
          <w:tab w:val="num" w:pos="2880"/>
        </w:tabs>
        <w:ind w:left="2880" w:hanging="360"/>
      </w:pPr>
      <w:rPr>
        <w:rFonts w:ascii="Ericsson Capital TT" w:hAnsi="Ericsson Capital TT" w:hint="default"/>
      </w:rPr>
    </w:lvl>
    <w:lvl w:ilvl="4" w:tplc="AF3E7174" w:tentative="1">
      <w:start w:val="1"/>
      <w:numFmt w:val="bullet"/>
      <w:lvlText w:val="–"/>
      <w:lvlJc w:val="left"/>
      <w:pPr>
        <w:tabs>
          <w:tab w:val="num" w:pos="3600"/>
        </w:tabs>
        <w:ind w:left="3600" w:hanging="360"/>
      </w:pPr>
      <w:rPr>
        <w:rFonts w:ascii="Ericsson Capital TT" w:hAnsi="Ericsson Capital TT" w:hint="default"/>
      </w:rPr>
    </w:lvl>
    <w:lvl w:ilvl="5" w:tplc="E0DE3640" w:tentative="1">
      <w:start w:val="1"/>
      <w:numFmt w:val="bullet"/>
      <w:lvlText w:val="–"/>
      <w:lvlJc w:val="left"/>
      <w:pPr>
        <w:tabs>
          <w:tab w:val="num" w:pos="4320"/>
        </w:tabs>
        <w:ind w:left="4320" w:hanging="360"/>
      </w:pPr>
      <w:rPr>
        <w:rFonts w:ascii="Ericsson Capital TT" w:hAnsi="Ericsson Capital TT" w:hint="default"/>
      </w:rPr>
    </w:lvl>
    <w:lvl w:ilvl="6" w:tplc="B8B2FF18" w:tentative="1">
      <w:start w:val="1"/>
      <w:numFmt w:val="bullet"/>
      <w:lvlText w:val="–"/>
      <w:lvlJc w:val="left"/>
      <w:pPr>
        <w:tabs>
          <w:tab w:val="num" w:pos="5040"/>
        </w:tabs>
        <w:ind w:left="5040" w:hanging="360"/>
      </w:pPr>
      <w:rPr>
        <w:rFonts w:ascii="Ericsson Capital TT" w:hAnsi="Ericsson Capital TT" w:hint="default"/>
      </w:rPr>
    </w:lvl>
    <w:lvl w:ilvl="7" w:tplc="F5EC181A" w:tentative="1">
      <w:start w:val="1"/>
      <w:numFmt w:val="bullet"/>
      <w:lvlText w:val="–"/>
      <w:lvlJc w:val="left"/>
      <w:pPr>
        <w:tabs>
          <w:tab w:val="num" w:pos="5760"/>
        </w:tabs>
        <w:ind w:left="5760" w:hanging="360"/>
      </w:pPr>
      <w:rPr>
        <w:rFonts w:ascii="Ericsson Capital TT" w:hAnsi="Ericsson Capital TT" w:hint="default"/>
      </w:rPr>
    </w:lvl>
    <w:lvl w:ilvl="8" w:tplc="FE26B2BA" w:tentative="1">
      <w:start w:val="1"/>
      <w:numFmt w:val="bullet"/>
      <w:lvlText w:val="–"/>
      <w:lvlJc w:val="left"/>
      <w:pPr>
        <w:tabs>
          <w:tab w:val="num" w:pos="6480"/>
        </w:tabs>
        <w:ind w:left="6480" w:hanging="360"/>
      </w:pPr>
      <w:rPr>
        <w:rFonts w:ascii="Ericsson Capital TT" w:hAnsi="Ericsson Capital TT" w:hint="default"/>
      </w:rPr>
    </w:lvl>
  </w:abstractNum>
  <w:abstractNum w:abstractNumId="3"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2B24B08"/>
    <w:multiLevelType w:val="hybridMultilevel"/>
    <w:tmpl w:val="6B169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ED18BC"/>
    <w:multiLevelType w:val="multilevel"/>
    <w:tmpl w:val="CF801BF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913395171">
    <w:abstractNumId w:val="9"/>
  </w:num>
  <w:num w:numId="2" w16cid:durableId="1701474077">
    <w:abstractNumId w:val="4"/>
  </w:num>
  <w:num w:numId="3" w16cid:durableId="2004815137">
    <w:abstractNumId w:val="3"/>
  </w:num>
  <w:num w:numId="4" w16cid:durableId="1231623856">
    <w:abstractNumId w:val="5"/>
  </w:num>
  <w:num w:numId="5" w16cid:durableId="1410466868">
    <w:abstractNumId w:val="7"/>
  </w:num>
  <w:num w:numId="6" w16cid:durableId="563182906">
    <w:abstractNumId w:val="0"/>
  </w:num>
  <w:num w:numId="7" w16cid:durableId="737048786">
    <w:abstractNumId w:val="2"/>
  </w:num>
  <w:num w:numId="8" w16cid:durableId="2124416032">
    <w:abstractNumId w:val="8"/>
  </w:num>
  <w:num w:numId="9" w16cid:durableId="1098407700">
    <w:abstractNumId w:val="6"/>
  </w:num>
  <w:num w:numId="10" w16cid:durableId="1940409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NotDisplayPageBoundaries/>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1D1C"/>
    <w:rsid w:val="0000774F"/>
    <w:rsid w:val="000079EC"/>
    <w:rsid w:val="000102FE"/>
    <w:rsid w:val="000131FE"/>
    <w:rsid w:val="0002697A"/>
    <w:rsid w:val="00033132"/>
    <w:rsid w:val="00034239"/>
    <w:rsid w:val="00070D71"/>
    <w:rsid w:val="00070DB0"/>
    <w:rsid w:val="00083918"/>
    <w:rsid w:val="000A258F"/>
    <w:rsid w:val="000C533F"/>
    <w:rsid w:val="000E0714"/>
    <w:rsid w:val="000F3342"/>
    <w:rsid w:val="0010092C"/>
    <w:rsid w:val="0010118B"/>
    <w:rsid w:val="00112E18"/>
    <w:rsid w:val="0012759D"/>
    <w:rsid w:val="00133F4F"/>
    <w:rsid w:val="0013682A"/>
    <w:rsid w:val="00141448"/>
    <w:rsid w:val="00146C6A"/>
    <w:rsid w:val="00157F35"/>
    <w:rsid w:val="00167DCC"/>
    <w:rsid w:val="00172CE7"/>
    <w:rsid w:val="00182980"/>
    <w:rsid w:val="00190A37"/>
    <w:rsid w:val="001977D1"/>
    <w:rsid w:val="001A59D0"/>
    <w:rsid w:val="001A66EC"/>
    <w:rsid w:val="001B0C1D"/>
    <w:rsid w:val="001D6E44"/>
    <w:rsid w:val="001D736A"/>
    <w:rsid w:val="001E30AE"/>
    <w:rsid w:val="001E4700"/>
    <w:rsid w:val="0020298D"/>
    <w:rsid w:val="0021013F"/>
    <w:rsid w:val="00221C72"/>
    <w:rsid w:val="002279A8"/>
    <w:rsid w:val="00235E96"/>
    <w:rsid w:val="00246B24"/>
    <w:rsid w:val="00261106"/>
    <w:rsid w:val="0026192C"/>
    <w:rsid w:val="002775FD"/>
    <w:rsid w:val="0028250A"/>
    <w:rsid w:val="00285BB9"/>
    <w:rsid w:val="002869D0"/>
    <w:rsid w:val="00290099"/>
    <w:rsid w:val="002A4829"/>
    <w:rsid w:val="002A6A55"/>
    <w:rsid w:val="002B1A7C"/>
    <w:rsid w:val="002D12C7"/>
    <w:rsid w:val="002D3880"/>
    <w:rsid w:val="002D5245"/>
    <w:rsid w:val="002F602E"/>
    <w:rsid w:val="00305E80"/>
    <w:rsid w:val="0030793B"/>
    <w:rsid w:val="00324FF2"/>
    <w:rsid w:val="00327521"/>
    <w:rsid w:val="00332CB8"/>
    <w:rsid w:val="00333F1F"/>
    <w:rsid w:val="00342042"/>
    <w:rsid w:val="0034496C"/>
    <w:rsid w:val="0035130C"/>
    <w:rsid w:val="003531DA"/>
    <w:rsid w:val="003612F9"/>
    <w:rsid w:val="003679C9"/>
    <w:rsid w:val="0037507D"/>
    <w:rsid w:val="003875A3"/>
    <w:rsid w:val="003917D3"/>
    <w:rsid w:val="003963BF"/>
    <w:rsid w:val="003A52AB"/>
    <w:rsid w:val="003B2A18"/>
    <w:rsid w:val="003B4688"/>
    <w:rsid w:val="003C33D6"/>
    <w:rsid w:val="003D3295"/>
    <w:rsid w:val="003E4CC9"/>
    <w:rsid w:val="003F3B39"/>
    <w:rsid w:val="00412A44"/>
    <w:rsid w:val="00420802"/>
    <w:rsid w:val="00424169"/>
    <w:rsid w:val="004242BA"/>
    <w:rsid w:val="00434B26"/>
    <w:rsid w:val="00442708"/>
    <w:rsid w:val="00451551"/>
    <w:rsid w:val="0045301E"/>
    <w:rsid w:val="00453FBE"/>
    <w:rsid w:val="0045523E"/>
    <w:rsid w:val="00457694"/>
    <w:rsid w:val="00460494"/>
    <w:rsid w:val="00470EF1"/>
    <w:rsid w:val="00484629"/>
    <w:rsid w:val="00487009"/>
    <w:rsid w:val="004A089F"/>
    <w:rsid w:val="004B1159"/>
    <w:rsid w:val="004B3410"/>
    <w:rsid w:val="004B67D9"/>
    <w:rsid w:val="004C7CBD"/>
    <w:rsid w:val="004E441F"/>
    <w:rsid w:val="004F65B9"/>
    <w:rsid w:val="004F67E8"/>
    <w:rsid w:val="00510E7D"/>
    <w:rsid w:val="00551E88"/>
    <w:rsid w:val="00554003"/>
    <w:rsid w:val="00564B04"/>
    <w:rsid w:val="005807B9"/>
    <w:rsid w:val="005C3831"/>
    <w:rsid w:val="005F3112"/>
    <w:rsid w:val="005F3C5F"/>
    <w:rsid w:val="00600B5D"/>
    <w:rsid w:val="006109AF"/>
    <w:rsid w:val="00614A07"/>
    <w:rsid w:val="006155E6"/>
    <w:rsid w:val="00631426"/>
    <w:rsid w:val="00641F03"/>
    <w:rsid w:val="006474BC"/>
    <w:rsid w:val="00666772"/>
    <w:rsid w:val="00680026"/>
    <w:rsid w:val="00687615"/>
    <w:rsid w:val="00693C2F"/>
    <w:rsid w:val="00693C7B"/>
    <w:rsid w:val="006A0864"/>
    <w:rsid w:val="006A286A"/>
    <w:rsid w:val="006A2E90"/>
    <w:rsid w:val="006A3AAE"/>
    <w:rsid w:val="006D2263"/>
    <w:rsid w:val="006D71C0"/>
    <w:rsid w:val="006F6F26"/>
    <w:rsid w:val="00702B09"/>
    <w:rsid w:val="00706170"/>
    <w:rsid w:val="00715FA3"/>
    <w:rsid w:val="00716AD8"/>
    <w:rsid w:val="00720EC8"/>
    <w:rsid w:val="0072634C"/>
    <w:rsid w:val="0074504F"/>
    <w:rsid w:val="0075476F"/>
    <w:rsid w:val="00757B08"/>
    <w:rsid w:val="007763D0"/>
    <w:rsid w:val="00776921"/>
    <w:rsid w:val="007874D6"/>
    <w:rsid w:val="0079017A"/>
    <w:rsid w:val="00796E2D"/>
    <w:rsid w:val="007A2B77"/>
    <w:rsid w:val="007B0BAB"/>
    <w:rsid w:val="007B1B2C"/>
    <w:rsid w:val="007B7791"/>
    <w:rsid w:val="007B7E68"/>
    <w:rsid w:val="007C52FC"/>
    <w:rsid w:val="007D25DF"/>
    <w:rsid w:val="007D7D28"/>
    <w:rsid w:val="007E7784"/>
    <w:rsid w:val="007F5867"/>
    <w:rsid w:val="00813F0D"/>
    <w:rsid w:val="00824E1E"/>
    <w:rsid w:val="00827A02"/>
    <w:rsid w:val="00834DE7"/>
    <w:rsid w:val="00847E50"/>
    <w:rsid w:val="00850137"/>
    <w:rsid w:val="00856615"/>
    <w:rsid w:val="00862A8A"/>
    <w:rsid w:val="0086549F"/>
    <w:rsid w:val="0088223B"/>
    <w:rsid w:val="00882AC4"/>
    <w:rsid w:val="0089171D"/>
    <w:rsid w:val="008A7666"/>
    <w:rsid w:val="008D71D6"/>
    <w:rsid w:val="008E16CD"/>
    <w:rsid w:val="008F053D"/>
    <w:rsid w:val="008F0598"/>
    <w:rsid w:val="008F1407"/>
    <w:rsid w:val="00913185"/>
    <w:rsid w:val="00927E65"/>
    <w:rsid w:val="00941515"/>
    <w:rsid w:val="0094191D"/>
    <w:rsid w:val="009431E6"/>
    <w:rsid w:val="00944D50"/>
    <w:rsid w:val="009468D7"/>
    <w:rsid w:val="00955246"/>
    <w:rsid w:val="00962320"/>
    <w:rsid w:val="00966F66"/>
    <w:rsid w:val="00982660"/>
    <w:rsid w:val="00997579"/>
    <w:rsid w:val="009A62B6"/>
    <w:rsid w:val="009A6BB8"/>
    <w:rsid w:val="009B0608"/>
    <w:rsid w:val="009B2E48"/>
    <w:rsid w:val="009C1C3E"/>
    <w:rsid w:val="009C1EC0"/>
    <w:rsid w:val="009C4861"/>
    <w:rsid w:val="009E6DC0"/>
    <w:rsid w:val="009F3AD1"/>
    <w:rsid w:val="00A03D24"/>
    <w:rsid w:val="00A06649"/>
    <w:rsid w:val="00A126A9"/>
    <w:rsid w:val="00A432B3"/>
    <w:rsid w:val="00A434A3"/>
    <w:rsid w:val="00A435B9"/>
    <w:rsid w:val="00A5145A"/>
    <w:rsid w:val="00A60A08"/>
    <w:rsid w:val="00A6508E"/>
    <w:rsid w:val="00A710AB"/>
    <w:rsid w:val="00A81AA1"/>
    <w:rsid w:val="00A97081"/>
    <w:rsid w:val="00AA13EF"/>
    <w:rsid w:val="00AA4097"/>
    <w:rsid w:val="00AB6956"/>
    <w:rsid w:val="00AC22D0"/>
    <w:rsid w:val="00AC56BA"/>
    <w:rsid w:val="00AC5CB7"/>
    <w:rsid w:val="00AD6EE6"/>
    <w:rsid w:val="00AE334B"/>
    <w:rsid w:val="00AF784E"/>
    <w:rsid w:val="00B01FF0"/>
    <w:rsid w:val="00B04C77"/>
    <w:rsid w:val="00B07218"/>
    <w:rsid w:val="00B1570F"/>
    <w:rsid w:val="00B22CCC"/>
    <w:rsid w:val="00B26281"/>
    <w:rsid w:val="00B315F3"/>
    <w:rsid w:val="00B368D9"/>
    <w:rsid w:val="00B45C38"/>
    <w:rsid w:val="00B46531"/>
    <w:rsid w:val="00B617D5"/>
    <w:rsid w:val="00B64EE7"/>
    <w:rsid w:val="00B65468"/>
    <w:rsid w:val="00BA2CDD"/>
    <w:rsid w:val="00BA388D"/>
    <w:rsid w:val="00BA44CC"/>
    <w:rsid w:val="00BB3BD9"/>
    <w:rsid w:val="00BB4FCE"/>
    <w:rsid w:val="00BB7702"/>
    <w:rsid w:val="00BB7A5A"/>
    <w:rsid w:val="00BC2D6A"/>
    <w:rsid w:val="00BD1FA2"/>
    <w:rsid w:val="00BD7524"/>
    <w:rsid w:val="00BE46A5"/>
    <w:rsid w:val="00BF5482"/>
    <w:rsid w:val="00C115B9"/>
    <w:rsid w:val="00C1560A"/>
    <w:rsid w:val="00C230C1"/>
    <w:rsid w:val="00C31C94"/>
    <w:rsid w:val="00C37C61"/>
    <w:rsid w:val="00C4046B"/>
    <w:rsid w:val="00C42805"/>
    <w:rsid w:val="00C51302"/>
    <w:rsid w:val="00C51EA4"/>
    <w:rsid w:val="00C52C73"/>
    <w:rsid w:val="00C61496"/>
    <w:rsid w:val="00C62260"/>
    <w:rsid w:val="00C70A6D"/>
    <w:rsid w:val="00C77490"/>
    <w:rsid w:val="00C9027C"/>
    <w:rsid w:val="00C91398"/>
    <w:rsid w:val="00C93774"/>
    <w:rsid w:val="00C9503E"/>
    <w:rsid w:val="00C959F9"/>
    <w:rsid w:val="00CA6B36"/>
    <w:rsid w:val="00CB6B8B"/>
    <w:rsid w:val="00CC2810"/>
    <w:rsid w:val="00CC6F92"/>
    <w:rsid w:val="00CD0219"/>
    <w:rsid w:val="00CE28B2"/>
    <w:rsid w:val="00CF67BE"/>
    <w:rsid w:val="00D03119"/>
    <w:rsid w:val="00D17DF9"/>
    <w:rsid w:val="00D260F4"/>
    <w:rsid w:val="00D64311"/>
    <w:rsid w:val="00D713C4"/>
    <w:rsid w:val="00D7521D"/>
    <w:rsid w:val="00D7691A"/>
    <w:rsid w:val="00D8533E"/>
    <w:rsid w:val="00D93262"/>
    <w:rsid w:val="00D94350"/>
    <w:rsid w:val="00DA110D"/>
    <w:rsid w:val="00DA2742"/>
    <w:rsid w:val="00DA3E92"/>
    <w:rsid w:val="00DB0FA1"/>
    <w:rsid w:val="00DD0474"/>
    <w:rsid w:val="00DE33B7"/>
    <w:rsid w:val="00DE532F"/>
    <w:rsid w:val="00DF76FD"/>
    <w:rsid w:val="00E003B7"/>
    <w:rsid w:val="00E0107B"/>
    <w:rsid w:val="00E015AC"/>
    <w:rsid w:val="00E02FD0"/>
    <w:rsid w:val="00E03D85"/>
    <w:rsid w:val="00E16025"/>
    <w:rsid w:val="00E162B9"/>
    <w:rsid w:val="00E16F68"/>
    <w:rsid w:val="00E20660"/>
    <w:rsid w:val="00E22B2E"/>
    <w:rsid w:val="00E24E2C"/>
    <w:rsid w:val="00E2540A"/>
    <w:rsid w:val="00E26905"/>
    <w:rsid w:val="00E30456"/>
    <w:rsid w:val="00E33277"/>
    <w:rsid w:val="00E55B79"/>
    <w:rsid w:val="00E63D88"/>
    <w:rsid w:val="00E70F20"/>
    <w:rsid w:val="00E71B4E"/>
    <w:rsid w:val="00E71F03"/>
    <w:rsid w:val="00E956F8"/>
    <w:rsid w:val="00E96D51"/>
    <w:rsid w:val="00EA18C8"/>
    <w:rsid w:val="00EB16C1"/>
    <w:rsid w:val="00EB5704"/>
    <w:rsid w:val="00EC1CD1"/>
    <w:rsid w:val="00F22975"/>
    <w:rsid w:val="00F2456C"/>
    <w:rsid w:val="00F35BDE"/>
    <w:rsid w:val="00F477FF"/>
    <w:rsid w:val="00F52EC3"/>
    <w:rsid w:val="00F70E7D"/>
    <w:rsid w:val="00F87B28"/>
    <w:rsid w:val="00F90999"/>
    <w:rsid w:val="00F91D0C"/>
    <w:rsid w:val="00F92B6B"/>
    <w:rsid w:val="00FA58A0"/>
    <w:rsid w:val="00FB0D4D"/>
    <w:rsid w:val="00FD1D82"/>
    <w:rsid w:val="00FD2F21"/>
    <w:rsid w:val="00FD43FF"/>
    <w:rsid w:val="00FE1C4A"/>
    <w:rsid w:val="00FE2D3B"/>
    <w:rsid w:val="00FE3D62"/>
    <w:rsid w:val="00FE5799"/>
    <w:rsid w:val="00FF6702"/>
    <w:rsid w:val="00FF6D4E"/>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41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35BDE"/>
    <w:pPr>
      <w:keepNext/>
      <w:numPr>
        <w:ilvl w:val="1"/>
        <w:numId w:val="1"/>
      </w:numPr>
      <w:tabs>
        <w:tab w:val="clear" w:pos="3447"/>
      </w:tabs>
      <w:spacing w:before="240" w:after="60"/>
      <w:ind w:left="567"/>
      <w:outlineLvl w:val="1"/>
    </w:pPr>
    <w:rPr>
      <w:rFonts w:ascii="Arial" w:eastAsia="MS Mincho" w:hAnsi="Arial"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35BDE"/>
    <w:pPr>
      <w:keepNext/>
      <w:numPr>
        <w:ilvl w:val="2"/>
        <w:numId w:val="1"/>
      </w:numPr>
      <w:spacing w:before="240" w:after="60"/>
      <w:outlineLvl w:val="2"/>
    </w:pPr>
    <w:rPr>
      <w:rFonts w:ascii="Arial" w:eastAsia="MS Mincho" w:hAnsi="Arial" w:cs="Arial"/>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35BDE"/>
    <w:rPr>
      <w:rFonts w:ascii="Arial" w:eastAsia="MS Mincho" w:hAnsi="Arial" w:cs="Arial"/>
      <w:b/>
      <w:bCs/>
      <w:iCs/>
      <w:sz w:val="24"/>
      <w:szCs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35BDE"/>
    <w:rPr>
      <w:rFonts w:ascii="Arial" w:eastAsia="MS Mincho" w:hAnsi="Arial" w:cs="Arial"/>
      <w:b/>
      <w:bCs/>
      <w:sz w:val="20"/>
      <w:szCs w:val="20"/>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basedOn w:val="DefaultParagraphFont"/>
    <w:uiPriority w:val="99"/>
    <w:semiHidden/>
    <w:unhideWhenUsed/>
    <w:rsid w:val="007D25DF"/>
    <w:rPr>
      <w:sz w:val="16"/>
      <w:szCs w:val="16"/>
    </w:rPr>
  </w:style>
  <w:style w:type="paragraph" w:styleId="CommentText">
    <w:name w:val="annotation text"/>
    <w:basedOn w:val="Normal"/>
    <w:link w:val="CommentTextChar"/>
    <w:uiPriority w:val="99"/>
    <w:unhideWhenUsed/>
    <w:rsid w:val="007D25DF"/>
    <w:rPr>
      <w:szCs w:val="20"/>
    </w:rPr>
  </w:style>
  <w:style w:type="character" w:customStyle="1" w:styleId="CommentTextChar">
    <w:name w:val="Comment Text Char"/>
    <w:basedOn w:val="DefaultParagraphFont"/>
    <w:link w:val="CommentText"/>
    <w:uiPriority w:val="99"/>
    <w:rsid w:val="007D25D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7D25DF"/>
    <w:rPr>
      <w:b/>
      <w:bCs/>
    </w:rPr>
  </w:style>
  <w:style w:type="character" w:customStyle="1" w:styleId="CommentSubjectChar">
    <w:name w:val="Comment Subject Char"/>
    <w:basedOn w:val="CommentTextChar"/>
    <w:link w:val="CommentSubject"/>
    <w:uiPriority w:val="99"/>
    <w:semiHidden/>
    <w:rsid w:val="007D25D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7D25DF"/>
    <w:rPr>
      <w:rFonts w:ascii="Tahoma" w:hAnsi="Tahoma" w:cs="Tahoma"/>
      <w:sz w:val="16"/>
      <w:szCs w:val="16"/>
    </w:rPr>
  </w:style>
  <w:style w:type="character" w:customStyle="1" w:styleId="BalloonTextChar">
    <w:name w:val="Balloon Text Char"/>
    <w:basedOn w:val="DefaultParagraphFont"/>
    <w:link w:val="BalloonText"/>
    <w:uiPriority w:val="99"/>
    <w:semiHidden/>
    <w:rsid w:val="007D25DF"/>
    <w:rPr>
      <w:rFonts w:ascii="Tahoma" w:eastAsia="Times New Roman" w:hAnsi="Tahoma" w:cs="Tahoma"/>
      <w:sz w:val="16"/>
      <w:szCs w:val="16"/>
      <w:lang w:val="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E20660"/>
    <w:pPr>
      <w:overflowPunct w:val="0"/>
      <w:autoSpaceDE w:val="0"/>
      <w:autoSpaceDN w:val="0"/>
      <w:adjustRightInd w:val="0"/>
      <w:spacing w:after="180"/>
      <w:ind w:left="720"/>
      <w:contextualSpacing/>
      <w:textAlignment w:val="baseline"/>
    </w:pPr>
    <w:rPr>
      <w:rFonts w:eastAsia="MS Mincho"/>
      <w:szCs w:val="20"/>
      <w:lang w:val="en-GB" w:eastAsia="en-GB"/>
    </w:rPr>
  </w:style>
  <w:style w:type="character" w:styleId="Hyperlink">
    <w:name w:val="Hyperlink"/>
    <w:basedOn w:val="DefaultParagraphFont"/>
    <w:uiPriority w:val="99"/>
    <w:unhideWhenUsed/>
    <w:rsid w:val="00CB6B8B"/>
    <w:rPr>
      <w:color w:val="0000FF" w:themeColor="hyperlink"/>
      <w:u w:val="single"/>
    </w:rPr>
  </w:style>
  <w:style w:type="character" w:styleId="UnresolvedMention">
    <w:name w:val="Unresolved Mention"/>
    <w:basedOn w:val="DefaultParagraphFont"/>
    <w:uiPriority w:val="99"/>
    <w:semiHidden/>
    <w:unhideWhenUsed/>
    <w:rsid w:val="00CB6B8B"/>
    <w:rPr>
      <w:color w:val="605E5C"/>
      <w:shd w:val="clear" w:color="auto" w:fill="E1DFDD"/>
    </w:rPr>
  </w:style>
  <w:style w:type="table" w:styleId="TableGrid">
    <w:name w:val="Table Grid"/>
    <w:basedOn w:val="TableNormal"/>
    <w:uiPriority w:val="59"/>
    <w:rsid w:val="00001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434A3"/>
    <w:rPr>
      <w:color w:val="800080" w:themeColor="followedHyperlink"/>
      <w:u w:val="single"/>
    </w:rPr>
  </w:style>
  <w:style w:type="paragraph" w:styleId="Caption">
    <w:name w:val="caption"/>
    <w:basedOn w:val="Normal"/>
    <w:next w:val="Normal"/>
    <w:qFormat/>
    <w:rsid w:val="00172CE7"/>
    <w:pPr>
      <w:spacing w:before="120" w:after="120" w:line="259" w:lineRule="auto"/>
    </w:pPr>
    <w:rPr>
      <w:rFonts w:ascii="Arial" w:eastAsiaTheme="minorHAnsi" w:hAnsi="Arial" w:cstheme="minorBidi"/>
      <w:szCs w:val="22"/>
      <w:lang w:eastAsia="en-GB"/>
    </w:rPr>
  </w:style>
  <w:style w:type="paragraph" w:styleId="Revision">
    <w:name w:val="Revision"/>
    <w:hidden/>
    <w:uiPriority w:val="99"/>
    <w:semiHidden/>
    <w:rsid w:val="002A4829"/>
    <w:pPr>
      <w:spacing w:after="0" w:line="240" w:lineRule="auto"/>
    </w:pPr>
    <w:rPr>
      <w:rFonts w:ascii="Times New Roman" w:eastAsia="Times New Roman" w:hAnsi="Times New Roman" w:cs="Times New Roman"/>
      <w:sz w:val="20"/>
      <w:szCs w:val="24"/>
      <w:lang w:val="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2A4829"/>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475431">
      <w:bodyDiv w:val="1"/>
      <w:marLeft w:val="0"/>
      <w:marRight w:val="0"/>
      <w:marTop w:val="0"/>
      <w:marBottom w:val="0"/>
      <w:divBdr>
        <w:top w:val="none" w:sz="0" w:space="0" w:color="auto"/>
        <w:left w:val="none" w:sz="0" w:space="0" w:color="auto"/>
        <w:bottom w:val="none" w:sz="0" w:space="0" w:color="auto"/>
        <w:right w:val="none" w:sz="0" w:space="0" w:color="auto"/>
      </w:divBdr>
    </w:div>
    <w:div w:id="1370375723">
      <w:bodyDiv w:val="1"/>
      <w:marLeft w:val="0"/>
      <w:marRight w:val="0"/>
      <w:marTop w:val="0"/>
      <w:marBottom w:val="0"/>
      <w:divBdr>
        <w:top w:val="none" w:sz="0" w:space="0" w:color="auto"/>
        <w:left w:val="none" w:sz="0" w:space="0" w:color="auto"/>
        <w:bottom w:val="none" w:sz="0" w:space="0" w:color="auto"/>
        <w:right w:val="none" w:sz="0" w:space="0" w:color="auto"/>
      </w:divBdr>
      <w:divsChild>
        <w:div w:id="264113199">
          <w:marLeft w:val="835"/>
          <w:marRight w:val="0"/>
          <w:marTop w:val="82"/>
          <w:marBottom w:val="0"/>
          <w:divBdr>
            <w:top w:val="none" w:sz="0" w:space="0" w:color="auto"/>
            <w:left w:val="none" w:sz="0" w:space="0" w:color="auto"/>
            <w:bottom w:val="none" w:sz="0" w:space="0" w:color="auto"/>
            <w:right w:val="none" w:sz="0" w:space="0" w:color="auto"/>
          </w:divBdr>
        </w:div>
        <w:div w:id="693964752">
          <w:marLeft w:val="835"/>
          <w:marRight w:val="0"/>
          <w:marTop w:val="82"/>
          <w:marBottom w:val="0"/>
          <w:divBdr>
            <w:top w:val="none" w:sz="0" w:space="0" w:color="auto"/>
            <w:left w:val="none" w:sz="0" w:space="0" w:color="auto"/>
            <w:bottom w:val="none" w:sz="0" w:space="0" w:color="auto"/>
            <w:right w:val="none" w:sz="0" w:space="0" w:color="auto"/>
          </w:divBdr>
        </w:div>
        <w:div w:id="1030377396">
          <w:marLeft w:val="835"/>
          <w:marRight w:val="0"/>
          <w:marTop w:val="82"/>
          <w:marBottom w:val="0"/>
          <w:divBdr>
            <w:top w:val="none" w:sz="0" w:space="0" w:color="auto"/>
            <w:left w:val="none" w:sz="0" w:space="0" w:color="auto"/>
            <w:bottom w:val="none" w:sz="0" w:space="0" w:color="auto"/>
            <w:right w:val="none" w:sz="0" w:space="0" w:color="auto"/>
          </w:divBdr>
        </w:div>
        <w:div w:id="1680236876">
          <w:marLeft w:val="835"/>
          <w:marRight w:val="0"/>
          <w:marTop w:val="82"/>
          <w:marBottom w:val="0"/>
          <w:divBdr>
            <w:top w:val="none" w:sz="0" w:space="0" w:color="auto"/>
            <w:left w:val="none" w:sz="0" w:space="0" w:color="auto"/>
            <w:bottom w:val="none" w:sz="0" w:space="0" w:color="auto"/>
            <w:right w:val="none" w:sz="0" w:space="0" w:color="auto"/>
          </w:divBdr>
        </w:div>
        <w:div w:id="1858882839">
          <w:marLeft w:val="835"/>
          <w:marRight w:val="0"/>
          <w:marTop w:val="82"/>
          <w:marBottom w:val="0"/>
          <w:divBdr>
            <w:top w:val="none" w:sz="0" w:space="0" w:color="auto"/>
            <w:left w:val="none" w:sz="0" w:space="0" w:color="auto"/>
            <w:bottom w:val="none" w:sz="0" w:space="0" w:color="auto"/>
            <w:right w:val="none" w:sz="0" w:space="0" w:color="auto"/>
          </w:divBdr>
        </w:div>
      </w:divsChild>
    </w:div>
    <w:div w:id="1693023523">
      <w:bodyDiv w:val="1"/>
      <w:marLeft w:val="0"/>
      <w:marRight w:val="0"/>
      <w:marTop w:val="0"/>
      <w:marBottom w:val="0"/>
      <w:divBdr>
        <w:top w:val="none" w:sz="0" w:space="0" w:color="auto"/>
        <w:left w:val="none" w:sz="0" w:space="0" w:color="auto"/>
        <w:bottom w:val="none" w:sz="0" w:space="0" w:color="auto"/>
        <w:right w:val="none" w:sz="0" w:space="0" w:color="auto"/>
      </w:divBdr>
    </w:div>
    <w:div w:id="190533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C66D4-067C-4AA3-AB2C-409CF0E41EC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2085</Words>
  <Characters>11886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2026-01-30T22:41:00Z</dcterms:created>
  <dcterms:modified xsi:type="dcterms:W3CDTF">2026-01-30T22:41:00Z</dcterms:modified>
</cp:coreProperties>
</file>